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1E" w:rsidRPr="00F81BB0" w:rsidRDefault="001F2A1E" w:rsidP="001F2A1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            </w:t>
      </w:r>
      <w:r w:rsidRPr="00F81BB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A899771" wp14:editId="4B83A384">
            <wp:extent cx="682625" cy="7988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2A1E" w:rsidRPr="00F81BB0" w:rsidRDefault="001F2A1E" w:rsidP="001F2A1E">
      <w:pPr>
        <w:rPr>
          <w:rFonts w:ascii="Calibri" w:eastAsia="Calibri" w:hAnsi="Calibri" w:cs="Times New Roman"/>
        </w:rPr>
      </w:pPr>
    </w:p>
    <w:p w:rsidR="001F2A1E" w:rsidRPr="00F81BB0" w:rsidRDefault="001F2A1E" w:rsidP="001F2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1F2A1E" w:rsidRPr="00F81BB0" w:rsidRDefault="001F2A1E" w:rsidP="001F2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1F2A1E" w:rsidRPr="00F81BB0" w:rsidRDefault="001F2A1E" w:rsidP="001F2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1F2A1E" w:rsidRPr="00F81BB0" w:rsidRDefault="001F2A1E" w:rsidP="001F2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1F2A1E" w:rsidRPr="00F81BB0" w:rsidRDefault="001F2A1E" w:rsidP="001F2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F2A1E" w:rsidRPr="00F81BB0" w:rsidRDefault="001F2A1E" w:rsidP="001F2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F81BB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1F2A1E" w:rsidRPr="00F81BB0" w:rsidRDefault="001F2A1E" w:rsidP="001F2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A1E" w:rsidRPr="00F81BB0" w:rsidRDefault="001F2A1E" w:rsidP="001F2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F2A1E" w:rsidRPr="00F81BB0" w:rsidRDefault="001F2A1E" w:rsidP="001F2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A1E" w:rsidRPr="00F81BB0" w:rsidRDefault="001F2A1E" w:rsidP="001F2A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A1E" w:rsidRPr="00F81BB0" w:rsidRDefault="001F2A1E" w:rsidP="001F2A1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proofErr w:type="gramStart"/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</w:t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2016 года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F81B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1F2A1E" w:rsidRDefault="001F2A1E" w:rsidP="001F2A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2A1E" w:rsidRDefault="001F2A1E" w:rsidP="001F2A1E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060D4D" w:rsidRPr="00060D4D" w:rsidRDefault="00060D4D" w:rsidP="00060D4D">
      <w:pPr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 внесении изменений в Правила землепользования и застройки сельского поселения </w:t>
      </w:r>
      <w:proofErr w:type="spellStart"/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060D4D" w:rsidRPr="00060D4D" w:rsidRDefault="00060D4D" w:rsidP="00060D4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60D4D" w:rsidRDefault="00060D4D" w:rsidP="00060D4D">
      <w:pPr>
        <w:spacing w:after="20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со статьей 33 Градостроительного кодекса Российской Федерации, пунктом 20 части 1, частью 3 статьи 14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proofErr w:type="spellStart"/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</w:t>
      </w:r>
      <w:r w:rsidRPr="00060D4D" w:rsidDel="00D70C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Самарской области от 27.12.2016г., Собрание представителей сельского поселения </w:t>
      </w:r>
      <w:proofErr w:type="spellStart"/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 </w:t>
      </w:r>
    </w:p>
    <w:p w:rsidR="00060D4D" w:rsidRPr="00060D4D" w:rsidRDefault="00060D4D" w:rsidP="00060D4D">
      <w:pPr>
        <w:spacing w:after="20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РЕШИЛО</w:t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: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 Внести следующие изменения в Правила землепользования и застройки сельского поселения </w:t>
      </w:r>
      <w:proofErr w:type="spellStart"/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</w:t>
      </w:r>
      <w:r w:rsidRPr="00060D4D" w:rsidDel="00D70CB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Самарской области, утвержденные решением Собрания представителей сельского поселения </w:t>
      </w:r>
      <w:proofErr w:type="spellStart"/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060D4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от 25.12.2013 № 112 (далее – Правила):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1) в статье 39 Правил: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градостроительный регламент территориальной зоны «Ж5 Зона размещения объектов дошкольного и общего образования» дополнить перечнем условно разрешенных видов использования земельных участков и объектов капитального строительства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7287"/>
      </w:tblGrid>
      <w:tr w:rsidR="00060D4D" w:rsidRPr="00060D4D" w:rsidTr="00951A43">
        <w:tc>
          <w:tcPr>
            <w:tcW w:w="9606" w:type="dxa"/>
            <w:gridSpan w:val="2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ind w:firstLine="68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«Условно разрешенные виды использования земельных участков </w:t>
            </w: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объектов капитального строительства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Деятельность, соответствующая виду </w:t>
            </w: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br/>
              <w:t>разрешенного использования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      </w:r>
          </w:p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гражданской обороны, за исключением объектов гражданской обороны, являющихся частями производственных зданий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Культурное развитие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</w:p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устройство площадок для празднеств и гуляний;</w:t>
            </w:r>
          </w:p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зданий и сооружений для размещения цирков, зверинцев, зоопарков, океанариумов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Религиозное использование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</w:p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училища)»</w:t>
            </w:r>
          </w:p>
        </w:tc>
      </w:tr>
    </w:tbl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градостроительный регламент территориальной зоны «О1 Зона делового, общественного, коммерческого, социального и культурно-бытового назначения» дополнить основным видом разрешенного использования земельных участков и объектов капитального строительства следующего содержания:</w:t>
      </w:r>
    </w:p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7287"/>
      </w:tblGrid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Деятельность, соответствующая виду </w:t>
            </w: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br/>
              <w:t>разрешенного использования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«Амбулаторно-поликлиническое обслуживание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лаборатории)»</w:t>
            </w:r>
          </w:p>
        </w:tc>
      </w:tr>
    </w:tbl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градостроительный регламент территориальной зоны «Р1 Зона скверов, парков, бульваров» </w:t>
      </w: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дополнить перечнем условно разрешенных видов использования земельных участков и объектов капитального строительства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7287"/>
      </w:tblGrid>
      <w:tr w:rsidR="00060D4D" w:rsidRPr="00060D4D" w:rsidTr="00951A43">
        <w:tc>
          <w:tcPr>
            <w:tcW w:w="9606" w:type="dxa"/>
            <w:gridSpan w:val="2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ind w:firstLine="68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«Условно разрешенные виды использования земельных участков </w:t>
            </w: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объектов капитального строительства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Деятельность, соответствующая виду </w:t>
            </w: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br/>
              <w:t>разрешенного использования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Охота и рыбалка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Причалы для маломерных судов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Гидротехнические сооружения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рыбозащитных</w:t>
            </w:r>
            <w:proofErr w:type="spellEnd"/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 рыбопропускных сооружений, берегозащитных сооружений)</w:t>
            </w:r>
          </w:p>
        </w:tc>
      </w:tr>
      <w:tr w:rsidR="00060D4D" w:rsidRPr="00060D4D" w:rsidTr="00951A43">
        <w:trPr>
          <w:trHeight w:val="194"/>
        </w:trPr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площадок;</w:t>
            </w:r>
          </w:p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игорных зонах также допускается размещение игорных заведений, залов игровых автоматов, используемых для проведения азартных игр, и игровых столов, а также размещение гостиниц и заведений общественного питания для посетителей игорных зон»</w:t>
            </w:r>
          </w:p>
        </w:tc>
      </w:tr>
    </w:tbl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градостроительный регламент территориальной зоны «Р2 Зона природного ландшафта» дополнить перечнем условно разрешенных видов использования земельных участков и объектов капитального строительства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7287"/>
      </w:tblGrid>
      <w:tr w:rsidR="00060D4D" w:rsidRPr="00060D4D" w:rsidTr="00951A43">
        <w:tc>
          <w:tcPr>
            <w:tcW w:w="9606" w:type="dxa"/>
            <w:gridSpan w:val="2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ind w:firstLine="68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«Условно разрешенные виды использования земельных участков </w:t>
            </w: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объектов капитального строительства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Деятельность, соответствующая виду </w:t>
            </w: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br/>
              <w:t>разрешенного использования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Общее пользование водными объектами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Использование земельных участков, примыкающих к водным объектам способами, необходимыми для специального водопользования (забор водных ресурсов из поверхностных водных объектов, сброс сточных вод и (или) дренажных вод, проведение </w:t>
            </w: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дноуглубительных, взрывных, буровых и других работ, связанных с изменением дна и берегов водных объектов)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Гидротехнические сооружения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гидротехнических сооружений, необходимых для эксплуатации водохранилищ (плотин, водосбросов, водозаборных, водовыпускных и других гидротехнических сооружений, судопропускных сооружений, </w:t>
            </w:r>
            <w:proofErr w:type="spellStart"/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рыбозащитных</w:t>
            </w:r>
            <w:proofErr w:type="spellEnd"/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 рыбопропускных сооружений, берегозащитных сооружений)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Природно-познавательный туризм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</w:t>
            </w:r>
          </w:p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осуществление необходимых природоохранных и </w:t>
            </w:r>
            <w:proofErr w:type="spellStart"/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природовосстановительных</w:t>
            </w:r>
            <w:proofErr w:type="spellEnd"/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Охота и рыбалка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Причалы для маломерных судов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судов»</w:t>
            </w:r>
          </w:p>
        </w:tc>
      </w:tr>
    </w:tbl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градостроительный регламент территориальной зоны «ПСЗ Зона санитарно-защитного назначения от производственных и коммунально-складских объектов» </w:t>
      </w: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дополнить перечнем условно разрешенных видов использования земельных участков и объектов капитального строительства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7287"/>
      </w:tblGrid>
      <w:tr w:rsidR="00060D4D" w:rsidRPr="00060D4D" w:rsidTr="00951A43">
        <w:tc>
          <w:tcPr>
            <w:tcW w:w="9606" w:type="dxa"/>
            <w:gridSpan w:val="2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ind w:firstLine="68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«Условно разрешенные виды использования земельных участков </w:t>
            </w: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объектов капитального строительства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Деятельность, соответствующая виду </w:t>
            </w: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br/>
              <w:t>разрешенного использования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Гостиничное обслуживание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них»</w:t>
            </w:r>
          </w:p>
        </w:tc>
      </w:tr>
    </w:tbl>
    <w:p w:rsidR="00060D4D" w:rsidRPr="00060D4D" w:rsidRDefault="00060D4D" w:rsidP="00060D4D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lastRenderedPageBreak/>
        <w:t xml:space="preserve">градостроительный регламент территориальной зоны «ИТ Зона инженерной и транспортной инфраструктур» </w:t>
      </w: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дополнить перечнем условно разрешенных видов использования земельных участков и объектов капитального строительства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7287"/>
      </w:tblGrid>
      <w:tr w:rsidR="00060D4D" w:rsidRPr="00060D4D" w:rsidTr="00951A43">
        <w:tc>
          <w:tcPr>
            <w:tcW w:w="9606" w:type="dxa"/>
            <w:gridSpan w:val="2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ind w:firstLine="68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«Условно разрешенные виды использования земельных участков </w:t>
            </w: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объектов капитального строительства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Деятельность, соответствующая </w:t>
            </w: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br/>
              <w:t>виду разрешенного использования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Обслуживание автотранспорта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 Классификатора видов разрешенного земельных участков, утвержденного приказом Министерства экономического развития Российской Федерации от 01.09.2014 № 540 (далее – Классификатор видов разрешенного использования)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Специальная деятельность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переработки»</w:t>
            </w:r>
          </w:p>
        </w:tc>
      </w:tr>
    </w:tbl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градостроительный регламент территориальной зоны «Сх4 Зона садоводства» дополнить перечнем условно разрешенных видов использования земельных участков и объектов капитального строительства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7287"/>
      </w:tblGrid>
      <w:tr w:rsidR="00060D4D" w:rsidRPr="00060D4D" w:rsidTr="00951A43">
        <w:tc>
          <w:tcPr>
            <w:tcW w:w="9606" w:type="dxa"/>
            <w:gridSpan w:val="2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ind w:firstLine="68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«Условно разрешенные виды использования земельных участков </w:t>
            </w: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объектов капитального строительства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Деятельность, соответствующая </w:t>
            </w: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br/>
              <w:t>виду разрешенного использования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Магазины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бары)»</w:t>
            </w:r>
          </w:p>
        </w:tc>
      </w:tr>
    </w:tbl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8"/>
          <w:lang w:eastAsia="ru-RU"/>
        </w:rPr>
        <w:t>градостроительный регламент территориальной зоны «Сп1 Зона специального назначения, связанная с захоронениями» дополнить перечнем условно разрешенных видов использования земельных участков и объектов капитального строительства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7287"/>
      </w:tblGrid>
      <w:tr w:rsidR="00060D4D" w:rsidRPr="00060D4D" w:rsidTr="00951A43">
        <w:tc>
          <w:tcPr>
            <w:tcW w:w="9606" w:type="dxa"/>
            <w:gridSpan w:val="2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ind w:firstLine="680"/>
              <w:jc w:val="center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«Условно разрешенные виды использования земельных участков </w:t>
            </w:r>
            <w:r w:rsidRPr="00060D4D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 объектов капитального строительства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Деятельность, соответствующая </w:t>
            </w:r>
            <w:r w:rsidRPr="00060D4D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br/>
              <w:t>виду разрешенного использования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Магазины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</w:tr>
      <w:tr w:rsidR="00060D4D" w:rsidRPr="00060D4D" w:rsidTr="00951A43">
        <w:tc>
          <w:tcPr>
            <w:tcW w:w="2319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Специальная деятельность</w:t>
            </w:r>
          </w:p>
        </w:tc>
        <w:tc>
          <w:tcPr>
            <w:tcW w:w="7287" w:type="dxa"/>
            <w:shd w:val="clear" w:color="auto" w:fill="auto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Размещение, хранение, захоронение, утилизация, накопление, обработка, обезвреживание отходов производства и потребления, медицинских отходов, биологических отходов, радиоактивных отходов, веществ, разрушающих озоновый слой, а также размещение объектов размещения отходов, захоронения, хранения, обезвреживания таких отходов (скотомогильников, мусоросжигательных и мусороперерабатывающих заводов, полигонов по захоронению и сортировке бытового мусора и отходов, мест сбора вещей для их вторичной переработки)»</w:t>
            </w:r>
          </w:p>
        </w:tc>
      </w:tr>
    </w:tbl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признать утратившими силу: 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таблицу «Предельные размеры земельных участков, предельные параметры разрешенного строительства, реконструкции объектов капитального строительства на земельных участках в зоне Ж1»;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таблицу «Предельные размеры земельных участков, предельные параметры разрешенного строительства, реконструкции объектов капитального строительства на земельных участках в зоне Ж2»;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таблицу «Предельные размеры земельных участков и предельные параметры строительства, реконструкции объектов капитального строительства в территориальной зоне Ж7»;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таблицу «Предельные размеры земельных участков, предельные параметры разрешенного строительства, реконструкции объектов капитального строительства на земельных участках в зоне Ж8»;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таблицу «Предельные размеры земельных участков, предельные параметры разрешенного строительства, реконструкции объектов капитального строительства на земельных участках в зоне Ж9»;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таблицу «Предельные параметры строительства, реконструкции объектов капитального строительства в территориальной зоне О1»;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таблицу «Предельные размеры земельных участков, предельные параметры разрешенного строительства, реконструкции объектов капитального строительства на земельных участках в зонах рекреационного назначения»;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примечание к градостроительному регламенту территориальной зоны «Сх1 Зона сельскохозяйственных угодий»;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таблицу «Предельные параметры строительства, реконструкции объектов капитального строительства в территориальной зоне Сх2»;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таблицу «Предельные параметры строительства, реконструкции объектов капитального строительства в </w:t>
      </w:r>
      <w:proofErr w:type="spellStart"/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подзоне</w:t>
      </w:r>
      <w:proofErr w:type="spellEnd"/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 Сх2-5»;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примечание к градостроительному регламенту территориальной зоны «Сх3 Зона огородничества»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lastRenderedPageBreak/>
        <w:t>таблицу «Предельные размеры земельных участков, предельные параметры разрешенного строительства, реконструкции объектов капитального строительства на земельных участках в зоне Сх4»;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таблицу «Предельные параметры строительства, реконструкции объектов капитального строительства в территориальной зоне П1»;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таблицу «Предельные параметры строительства, реконструкции объектов капитального строительства в </w:t>
      </w:r>
      <w:proofErr w:type="spellStart"/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подзоне</w:t>
      </w:r>
      <w:proofErr w:type="spellEnd"/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 П1-3»;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таблицу «Предельные параметры строительства, реконструкции объектов капитального строительства в </w:t>
      </w:r>
      <w:proofErr w:type="spellStart"/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подзоне</w:t>
      </w:r>
      <w:proofErr w:type="spellEnd"/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 П1-4»;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таблицу «Предельные параметры строительства, реконструкции объектов капитального строительства в </w:t>
      </w:r>
      <w:proofErr w:type="spellStart"/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подзоне</w:t>
      </w:r>
      <w:proofErr w:type="spellEnd"/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 xml:space="preserve"> П1-5»;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таблицу «Предельные параметры строительства, реконструкции объектов капитального строительства в территориальной зоне П2»;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дополнить Правила статьями 39.1 – 39.5 следующего содержания: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«</w:t>
      </w:r>
      <w:r w:rsidRPr="00060D4D">
        <w:rPr>
          <w:rFonts w:ascii="Times New Roman" w:eastAsia="MS Mincho" w:hAnsi="Times New Roman" w:cs="Times New Roman"/>
          <w:b/>
          <w:sz w:val="28"/>
          <w:szCs w:val="24"/>
          <w:u w:color="FFFFFF"/>
          <w:lang w:eastAsia="ru-RU"/>
        </w:rPr>
        <w:t>Статья 39.1. Предельные размеры земельных участков и предельные параметры разрешенного строительства, реконструкции объектов капитального строительства в жилых зонах и общественно-деловой зоне</w:t>
      </w:r>
    </w:p>
    <w:p w:rsidR="00060D4D" w:rsidRPr="00060D4D" w:rsidRDefault="00060D4D" w:rsidP="00060D4D">
      <w:pPr>
        <w:spacing w:after="0" w:line="240" w:lineRule="auto"/>
        <w:ind w:firstLine="709"/>
        <w:jc w:val="both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  <w:sectPr w:rsidR="00060D4D" w:rsidRPr="00060D4D" w:rsidSect="00651B45">
          <w:headerReference w:type="even" r:id="rId6"/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f6"/>
        <w:tblW w:w="14488" w:type="dxa"/>
        <w:tblInd w:w="108" w:type="dxa"/>
        <w:tblLook w:val="04A0" w:firstRow="1" w:lastRow="0" w:firstColumn="1" w:lastColumn="0" w:noHBand="0" w:noVBand="1"/>
      </w:tblPr>
      <w:tblGrid>
        <w:gridCol w:w="567"/>
        <w:gridCol w:w="4140"/>
        <w:gridCol w:w="1134"/>
        <w:gridCol w:w="1276"/>
        <w:gridCol w:w="1275"/>
        <w:gridCol w:w="1276"/>
        <w:gridCol w:w="992"/>
        <w:gridCol w:w="993"/>
        <w:gridCol w:w="1134"/>
        <w:gridCol w:w="850"/>
        <w:gridCol w:w="851"/>
      </w:tblGrid>
      <w:tr w:rsidR="00060D4D" w:rsidRPr="00060D4D" w:rsidTr="00951A43">
        <w:tc>
          <w:tcPr>
            <w:tcW w:w="567" w:type="dxa"/>
            <w:vMerge w:val="restart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140" w:type="dxa"/>
            <w:vMerge w:val="restart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9781" w:type="dxa"/>
            <w:gridSpan w:val="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060D4D" w:rsidRPr="00060D4D" w:rsidTr="00951A43">
        <w:tc>
          <w:tcPr>
            <w:tcW w:w="567" w:type="dxa"/>
            <w:vMerge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Ж1</w:t>
            </w:r>
          </w:p>
        </w:tc>
        <w:tc>
          <w:tcPr>
            <w:tcW w:w="1276" w:type="dxa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Ж1-1</w:t>
            </w:r>
          </w:p>
        </w:tc>
        <w:tc>
          <w:tcPr>
            <w:tcW w:w="1275" w:type="dxa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Ж2</w:t>
            </w:r>
          </w:p>
        </w:tc>
        <w:tc>
          <w:tcPr>
            <w:tcW w:w="1276" w:type="dxa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Ж2-1</w:t>
            </w:r>
          </w:p>
        </w:tc>
        <w:tc>
          <w:tcPr>
            <w:tcW w:w="992" w:type="dxa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Ж5</w:t>
            </w:r>
          </w:p>
        </w:tc>
        <w:tc>
          <w:tcPr>
            <w:tcW w:w="993" w:type="dxa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Ж7</w:t>
            </w:r>
          </w:p>
        </w:tc>
        <w:tc>
          <w:tcPr>
            <w:tcW w:w="1134" w:type="dxa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Ж8</w:t>
            </w:r>
          </w:p>
        </w:tc>
        <w:tc>
          <w:tcPr>
            <w:tcW w:w="850" w:type="dxa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Ж9</w:t>
            </w:r>
          </w:p>
        </w:tc>
        <w:tc>
          <w:tcPr>
            <w:tcW w:w="851" w:type="dxa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О1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1" w:type="dxa"/>
            <w:gridSpan w:val="10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Минимальная площадь земельного участка для индивидуальной жилой застройки,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площадь земельного участка для индивидуальной жилой застройки, кв.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Минимальная площадь земельного участка для блокированной жилой застройки,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 на каждый блок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Максимальная площадь земельного участка для блокированной жилой застройки,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 на </w:t>
            </w:r>
            <w:proofErr w:type="gram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каждый  блок</w:t>
            </w:r>
            <w:proofErr w:type="gramEnd"/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Минимальная площадь земельного участка для ведения личного подсобного хозяйства,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rPr>
          <w:trHeight w:val="485"/>
        </w:trPr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Максимальная площадь земельного участка для ведения личного подсобного хозяйства,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Минимальная площадь земельного участка для многоквартирной жилой застройки до трех этажей,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Минимальная площадь земельного участка для многоквартирной жилой застройки свыше трех этажей,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Минимальная площадь земельного участка для садоводства и дачного хозяйства, кв.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Максимальная площадь земельного участка для садоводства и дачного хозяйства,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Минимальная площадь земельного участка для огородничества,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Максимальная площадь земельного участка для огородничества,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 для размещения дошкольных образовательных учреждений и объектов начального общего и среднего (полного) общего образования,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 для размещения объектов среднего профессионально и высшего профессионального образования,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Минимальная площадь земельного участка для размещения </w:t>
            </w:r>
            <w:r w:rsidRPr="00060D4D">
              <w:rPr>
                <w:rFonts w:ascii="Times New Roman" w:hAnsi="Times New Roman"/>
                <w:bCs/>
                <w:sz w:val="24"/>
                <w:szCs w:val="24"/>
              </w:rPr>
              <w:t xml:space="preserve"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</w:t>
            </w:r>
            <w:proofErr w:type="spellStart"/>
            <w:r w:rsidRPr="00060D4D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Минимальная площадь земельного участка для иных основных и условно-разрешенных видов использования земельных участков, за исключением, указанных в пунктах 1-15 настоящей таблицы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1" w:type="dxa"/>
            <w:gridSpan w:val="10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высота зданий, строений, сооружений,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1" w:type="dxa"/>
            <w:gridSpan w:val="10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от границ земельных участков до отдельно стоящих зданий,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от границ земельных участков до строений и сооружений,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от границ земельного участка при строительстве, реконструкции жилых домов блокированной застройки в месте примыкания с соседними блоками,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Минимальный отступ от границ земельных участков </w:t>
            </w:r>
            <w:proofErr w:type="gram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до </w:t>
            </w:r>
            <w:r w:rsidRPr="00060D4D">
              <w:rPr>
                <w:rFonts w:ascii="Times New Roman" w:hAnsi="Times New Roman"/>
                <w:sz w:val="24"/>
                <w:szCs w:val="24"/>
              </w:rPr>
              <w:t xml:space="preserve"> дошкольных</w:t>
            </w:r>
            <w:proofErr w:type="gramEnd"/>
            <w:r w:rsidRPr="00060D4D">
              <w:rPr>
                <w:rFonts w:ascii="Times New Roman" w:hAnsi="Times New Roman"/>
                <w:sz w:val="24"/>
                <w:szCs w:val="24"/>
              </w:rPr>
              <w:t xml:space="preserve"> образовательных учреждений и объектов начального общего и среднего (полного) общего образования</w:t>
            </w: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 ,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1" w:type="dxa"/>
            <w:gridSpan w:val="10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</w:t>
            </w: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для индивидуальной жилой застройки, %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для ведения личного подсобного хозяйства, %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для блокированной жилой застройки, %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Максимальный процент застройки в границах земельного участка для многоквартирной жилой застройки, %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Максимальный процент застройки в границах земельного участка для садоводства и дачного хозяйства, %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 xml:space="preserve">Максимальный процент застройки </w:t>
            </w: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для размещения </w:t>
            </w:r>
            <w:r w:rsidRPr="00060D4D">
              <w:rPr>
                <w:rFonts w:ascii="Times New Roman" w:hAnsi="Times New Roman"/>
                <w:bCs/>
                <w:sz w:val="24"/>
                <w:szCs w:val="24"/>
              </w:rPr>
              <w:t>инженерно-технических объектов, сооружений и коммуникаций, допустимых к размещению в соответствии с требованиями санитарно-эпидемиологического законодательства, %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90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90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90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в иных случаях, за исключением случаев, указанных в пунктах 22-27 настоящей таблицы, %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21" w:type="dxa"/>
            <w:gridSpan w:val="10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Иные показатели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(бытовой разрыв) между зданиями индивидуальной жилой застройки и (или) зданиями блокированной жилой застройки,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Минимальный отступ (бытовой разрыв) </w:t>
            </w:r>
            <w:proofErr w:type="gram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между  зданиями</w:t>
            </w:r>
            <w:proofErr w:type="gramEnd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 многоквартирной жилой застройки,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rPr>
          <w:trHeight w:val="786"/>
        </w:trPr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Максимальное количество блоков в блокированной жилой застройке, шт.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Максимальная площадь встроенных и </w:t>
            </w:r>
            <w:proofErr w:type="gram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пристроенных  помещений</w:t>
            </w:r>
            <w:proofErr w:type="gramEnd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 нежилого назначения в жилых зданиях (за исключением объектов образования и здравоохранения),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Максимальная площадь отдельно стоящих зданий объектов физической культуры и спорта,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площадь отдельно стоящих зданий, строений, сооружений объектов хранения и стоянки транспортных средств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060D4D" w:rsidRPr="00060D4D" w:rsidRDefault="00060D4D" w:rsidP="00060D4D">
            <w:pPr>
              <w:rPr>
                <w:rFonts w:ascii="Times New Roman" w:eastAsia="MS MinNew Roman" w:hAnsi="Times New Roman"/>
                <w:bCs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Максимальная высота капитальных ограждений земельных участков, предназначенных для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шумоизоляции</w:t>
            </w:r>
            <w:proofErr w:type="spellEnd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 объектов образования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</w:p>
    <w:p w:rsidR="00060D4D" w:rsidRPr="00060D4D" w:rsidRDefault="00060D4D" w:rsidP="00060D4D">
      <w:pPr>
        <w:spacing w:after="0" w:line="360" w:lineRule="auto"/>
        <w:ind w:firstLine="709"/>
        <w:jc w:val="both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060D4D" w:rsidRPr="00060D4D" w:rsidRDefault="00060D4D" w:rsidP="00060D4D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  <w:sectPr w:rsidR="00060D4D" w:rsidRPr="00060D4D" w:rsidSect="007A59D2">
          <w:headerReference w:type="even" r:id="rId8"/>
          <w:headerReference w:type="default" r:id="rId9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4"/>
          <w:u w:color="FFFFFF"/>
          <w:lang w:eastAsia="ru-RU"/>
        </w:rPr>
        <w:lastRenderedPageBreak/>
        <w:t>Статья 39.2.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рекреационного назначения</w:t>
      </w:r>
    </w:p>
    <w:tbl>
      <w:tblPr>
        <w:tblStyle w:val="af6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3513"/>
        <w:gridCol w:w="1590"/>
        <w:gridCol w:w="1843"/>
        <w:gridCol w:w="1843"/>
      </w:tblGrid>
      <w:tr w:rsidR="00060D4D" w:rsidRPr="00060D4D" w:rsidTr="00951A43">
        <w:tc>
          <w:tcPr>
            <w:tcW w:w="709" w:type="dxa"/>
            <w:vMerge w:val="restart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3" w:type="dxa"/>
            <w:vMerge w:val="restart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5276" w:type="dxa"/>
            <w:gridSpan w:val="3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060D4D" w:rsidRPr="00060D4D" w:rsidTr="00951A43">
        <w:trPr>
          <w:trHeight w:val="88"/>
        </w:trPr>
        <w:tc>
          <w:tcPr>
            <w:tcW w:w="709" w:type="dxa"/>
            <w:vMerge/>
          </w:tcPr>
          <w:p w:rsidR="00060D4D" w:rsidRPr="00060D4D" w:rsidRDefault="00060D4D" w:rsidP="00060D4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513" w:type="dxa"/>
            <w:vMerge/>
          </w:tcPr>
          <w:p w:rsidR="00060D4D" w:rsidRPr="00060D4D" w:rsidRDefault="00060D4D" w:rsidP="00060D4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1590" w:type="dxa"/>
          </w:tcPr>
          <w:p w:rsidR="00060D4D" w:rsidRPr="00060D4D" w:rsidRDefault="00060D4D" w:rsidP="00060D4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  <w:t>Р1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  <w:t>Р2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  <w:t>Р3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numPr>
                <w:ilvl w:val="0"/>
                <w:numId w:val="8"/>
              </w:numPr>
              <w:ind w:left="459" w:hanging="425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513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Минимальная площадь земельного участка, </w:t>
            </w:r>
            <w:proofErr w:type="spellStart"/>
            <w:r w:rsidRPr="00060D4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9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100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numPr>
                <w:ilvl w:val="0"/>
                <w:numId w:val="8"/>
              </w:numPr>
              <w:ind w:left="459" w:hanging="425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513" w:type="dxa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Минимальная площадь земельного участка для размещения объектов инженерно-технического назначения, </w:t>
            </w:r>
            <w:proofErr w:type="spellStart"/>
            <w:r w:rsidRPr="00060D4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9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numPr>
                <w:ilvl w:val="0"/>
                <w:numId w:val="8"/>
              </w:numPr>
              <w:ind w:left="459" w:hanging="425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513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Максимальная площадь земельного участка, </w:t>
            </w:r>
            <w:proofErr w:type="spellStart"/>
            <w:r w:rsidRPr="00060D4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9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numPr>
                <w:ilvl w:val="0"/>
                <w:numId w:val="8"/>
              </w:numPr>
              <w:ind w:left="459" w:hanging="425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513" w:type="dxa"/>
            <w:tcBorders>
              <w:bottom w:val="single" w:sz="4" w:space="0" w:color="auto"/>
            </w:tcBorders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Предельная высота зданий, строений, сооружений, м</w:t>
            </w:r>
          </w:p>
        </w:tc>
        <w:tc>
          <w:tcPr>
            <w:tcW w:w="159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22,5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numPr>
                <w:ilvl w:val="0"/>
                <w:numId w:val="8"/>
              </w:numPr>
              <w:ind w:left="459" w:hanging="425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513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от границ земельных участков до зданий, строений, сооружений м</w:t>
            </w:r>
          </w:p>
        </w:tc>
        <w:tc>
          <w:tcPr>
            <w:tcW w:w="159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</w:t>
            </w: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numPr>
                <w:ilvl w:val="0"/>
                <w:numId w:val="8"/>
              </w:numPr>
              <w:ind w:left="459" w:hanging="425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513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159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80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Иные показатели</w:t>
            </w:r>
          </w:p>
        </w:tc>
      </w:tr>
      <w:tr w:rsidR="00060D4D" w:rsidRPr="00060D4D" w:rsidTr="00951A43">
        <w:tc>
          <w:tcPr>
            <w:tcW w:w="709" w:type="dxa"/>
          </w:tcPr>
          <w:p w:rsidR="00060D4D" w:rsidRPr="00060D4D" w:rsidRDefault="00060D4D" w:rsidP="00060D4D">
            <w:pPr>
              <w:numPr>
                <w:ilvl w:val="0"/>
                <w:numId w:val="8"/>
              </w:numPr>
              <w:ind w:left="459" w:hanging="425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513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Максимальная площадь объектов физкультуры и спорта открытого типа, </w:t>
            </w:r>
            <w:proofErr w:type="spell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59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10000</w:t>
            </w:r>
          </w:p>
        </w:tc>
      </w:tr>
    </w:tbl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</w:p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</w:p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</w:p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</w:p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4"/>
          <w:u w:color="FFFFFF"/>
          <w:lang w:eastAsia="ru-RU"/>
        </w:rPr>
        <w:lastRenderedPageBreak/>
        <w:t>Статья 39.3. Предельные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</w:t>
      </w:r>
    </w:p>
    <w:tbl>
      <w:tblPr>
        <w:tblStyle w:val="af6"/>
        <w:tblW w:w="9498" w:type="dxa"/>
        <w:tblInd w:w="108" w:type="dxa"/>
        <w:tblLook w:val="04A0" w:firstRow="1" w:lastRow="0" w:firstColumn="1" w:lastColumn="0" w:noHBand="0" w:noVBand="1"/>
      </w:tblPr>
      <w:tblGrid>
        <w:gridCol w:w="676"/>
        <w:gridCol w:w="3206"/>
        <w:gridCol w:w="1008"/>
        <w:gridCol w:w="1002"/>
        <w:gridCol w:w="900"/>
        <w:gridCol w:w="969"/>
        <w:gridCol w:w="748"/>
        <w:gridCol w:w="989"/>
      </w:tblGrid>
      <w:tr w:rsidR="00060D4D" w:rsidRPr="00060D4D" w:rsidTr="00951A43">
        <w:tc>
          <w:tcPr>
            <w:tcW w:w="676" w:type="dxa"/>
            <w:vMerge w:val="restart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06" w:type="dxa"/>
            <w:vMerge w:val="restart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5616" w:type="dxa"/>
            <w:gridSpan w:val="6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060D4D" w:rsidRPr="00060D4D" w:rsidTr="00951A43">
        <w:tc>
          <w:tcPr>
            <w:tcW w:w="676" w:type="dxa"/>
            <w:vMerge/>
          </w:tcPr>
          <w:p w:rsidR="00060D4D" w:rsidRPr="00060D4D" w:rsidRDefault="00060D4D" w:rsidP="00060D4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  <w:vMerge/>
          </w:tcPr>
          <w:p w:rsidR="00060D4D" w:rsidRPr="00060D4D" w:rsidRDefault="00060D4D" w:rsidP="00060D4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1008" w:type="dxa"/>
          </w:tcPr>
          <w:p w:rsidR="00060D4D" w:rsidRPr="00060D4D" w:rsidRDefault="00060D4D" w:rsidP="00060D4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  <w:t>Сх1</w:t>
            </w:r>
          </w:p>
        </w:tc>
        <w:tc>
          <w:tcPr>
            <w:tcW w:w="1002" w:type="dxa"/>
          </w:tcPr>
          <w:p w:rsidR="00060D4D" w:rsidRPr="00060D4D" w:rsidRDefault="00060D4D" w:rsidP="00060D4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  <w:t>Сх2</w:t>
            </w:r>
          </w:p>
        </w:tc>
        <w:tc>
          <w:tcPr>
            <w:tcW w:w="900" w:type="dxa"/>
          </w:tcPr>
          <w:p w:rsidR="00060D4D" w:rsidRPr="00060D4D" w:rsidRDefault="00060D4D" w:rsidP="00060D4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  <w:t>Сх2-5</w:t>
            </w:r>
          </w:p>
        </w:tc>
        <w:tc>
          <w:tcPr>
            <w:tcW w:w="969" w:type="dxa"/>
          </w:tcPr>
          <w:p w:rsidR="00060D4D" w:rsidRPr="00060D4D" w:rsidRDefault="00060D4D" w:rsidP="00060D4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  <w:t>Сх3</w:t>
            </w:r>
          </w:p>
        </w:tc>
        <w:tc>
          <w:tcPr>
            <w:tcW w:w="748" w:type="dxa"/>
          </w:tcPr>
          <w:p w:rsidR="00060D4D" w:rsidRPr="00060D4D" w:rsidRDefault="00060D4D" w:rsidP="00060D4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  <w:t>Сх4</w:t>
            </w:r>
          </w:p>
        </w:tc>
        <w:tc>
          <w:tcPr>
            <w:tcW w:w="989" w:type="dxa"/>
          </w:tcPr>
          <w:p w:rsidR="00060D4D" w:rsidRPr="00060D4D" w:rsidRDefault="00060D4D" w:rsidP="00060D4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  <w:t>Сх4-1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822" w:type="dxa"/>
            <w:gridSpan w:val="7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numPr>
                <w:ilvl w:val="0"/>
                <w:numId w:val="7"/>
              </w:numPr>
              <w:ind w:left="318" w:hanging="241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Минимальная площадь земельного участка, </w:t>
            </w:r>
            <w:proofErr w:type="spellStart"/>
            <w:r w:rsidRPr="00060D4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0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002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90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96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74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98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600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numPr>
                <w:ilvl w:val="0"/>
                <w:numId w:val="7"/>
              </w:numPr>
              <w:ind w:left="318" w:hanging="241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Максимальная площадь земельного участка, </w:t>
            </w:r>
            <w:proofErr w:type="spellStart"/>
            <w:r w:rsidRPr="00060D4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0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20000</w:t>
            </w:r>
          </w:p>
        </w:tc>
        <w:tc>
          <w:tcPr>
            <w:tcW w:w="1002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50000</w:t>
            </w:r>
          </w:p>
        </w:tc>
        <w:tc>
          <w:tcPr>
            <w:tcW w:w="90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96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74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3000</w:t>
            </w:r>
          </w:p>
        </w:tc>
        <w:tc>
          <w:tcPr>
            <w:tcW w:w="98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3000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822" w:type="dxa"/>
            <w:gridSpan w:val="7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numPr>
                <w:ilvl w:val="0"/>
                <w:numId w:val="7"/>
              </w:numPr>
              <w:ind w:left="318" w:hanging="241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Предельная высота зданий, строений, сооружений, м</w:t>
            </w:r>
          </w:p>
        </w:tc>
        <w:tc>
          <w:tcPr>
            <w:tcW w:w="100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6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4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0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822" w:type="dxa"/>
            <w:gridSpan w:val="7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numPr>
                <w:ilvl w:val="0"/>
                <w:numId w:val="7"/>
              </w:numPr>
              <w:ind w:left="318" w:hanging="241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от границ земельных участков до зданий, строений, сооружений м</w:t>
            </w:r>
          </w:p>
        </w:tc>
        <w:tc>
          <w:tcPr>
            <w:tcW w:w="100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822" w:type="dxa"/>
            <w:gridSpan w:val="7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Максимальный процент застройки </w:t>
            </w: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numPr>
                <w:ilvl w:val="0"/>
                <w:numId w:val="7"/>
              </w:numPr>
              <w:ind w:left="318" w:hanging="241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  <w:shd w:val="clear" w:color="auto" w:fill="auto"/>
          </w:tcPr>
          <w:p w:rsidR="00060D4D" w:rsidRPr="00060D4D" w:rsidRDefault="00060D4D" w:rsidP="0006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sz w:val="24"/>
                <w:szCs w:val="24"/>
              </w:rPr>
              <w:t>Максимальный процент застройки в границах земельного участка при застройке земельных участков для садоводства и дачного хозяйства, %</w:t>
            </w:r>
          </w:p>
        </w:tc>
        <w:tc>
          <w:tcPr>
            <w:tcW w:w="100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4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8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40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numPr>
                <w:ilvl w:val="0"/>
                <w:numId w:val="7"/>
              </w:numPr>
              <w:ind w:left="318" w:hanging="241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при размещении производственных объектов, %</w:t>
            </w:r>
          </w:p>
        </w:tc>
        <w:tc>
          <w:tcPr>
            <w:tcW w:w="100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6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numPr>
                <w:ilvl w:val="0"/>
                <w:numId w:val="7"/>
              </w:numPr>
              <w:ind w:left="318" w:hanging="241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00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6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4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numPr>
                <w:ilvl w:val="0"/>
                <w:numId w:val="7"/>
              </w:numPr>
              <w:ind w:left="318" w:hanging="241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Максимальный процент застройки в границах земельного участка при размещении иных объектов, </w:t>
            </w: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lastRenderedPageBreak/>
              <w:t xml:space="preserve">за исключением </w:t>
            </w:r>
            <w:proofErr w:type="gramStart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случаев,  указанных</w:t>
            </w:r>
            <w:proofErr w:type="gramEnd"/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 xml:space="preserve"> в пунктах 5-7 настоящей таблицы, %</w:t>
            </w:r>
          </w:p>
        </w:tc>
        <w:tc>
          <w:tcPr>
            <w:tcW w:w="100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lastRenderedPageBreak/>
              <w:t>0</w:t>
            </w:r>
          </w:p>
        </w:tc>
        <w:tc>
          <w:tcPr>
            <w:tcW w:w="1002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4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8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7085" w:type="dxa"/>
            <w:gridSpan w:val="5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Иные показатели</w:t>
            </w:r>
          </w:p>
        </w:tc>
        <w:tc>
          <w:tcPr>
            <w:tcW w:w="748" w:type="dxa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numPr>
                <w:ilvl w:val="0"/>
                <w:numId w:val="7"/>
              </w:numPr>
              <w:ind w:left="318" w:hanging="241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размер санитарно-защитной зоны, м</w:t>
            </w:r>
          </w:p>
        </w:tc>
        <w:tc>
          <w:tcPr>
            <w:tcW w:w="100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6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98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0</w:t>
            </w:r>
          </w:p>
        </w:tc>
      </w:tr>
      <w:tr w:rsidR="00060D4D" w:rsidRPr="00060D4D" w:rsidTr="00951A43">
        <w:tc>
          <w:tcPr>
            <w:tcW w:w="676" w:type="dxa"/>
          </w:tcPr>
          <w:p w:rsidR="00060D4D" w:rsidRPr="00060D4D" w:rsidRDefault="00060D4D" w:rsidP="00060D4D">
            <w:pPr>
              <w:numPr>
                <w:ilvl w:val="0"/>
                <w:numId w:val="7"/>
              </w:numPr>
              <w:ind w:left="318" w:hanging="241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3206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00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02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b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4"/>
          <w:u w:color="FFFFFF"/>
          <w:lang w:eastAsia="ru-RU"/>
        </w:rPr>
        <w:t xml:space="preserve">Статья 39.4. Предельные размеры земельных участков и предельные параметры разрешенного строительства, реконструкции объектов капитального строительства в производственных зонах, </w:t>
      </w:r>
      <w:proofErr w:type="spellStart"/>
      <w:r w:rsidRPr="00060D4D">
        <w:rPr>
          <w:rFonts w:ascii="Times New Roman" w:eastAsia="MS Mincho" w:hAnsi="Times New Roman" w:cs="Times New Roman"/>
          <w:b/>
          <w:sz w:val="28"/>
          <w:szCs w:val="24"/>
          <w:u w:color="FFFFFF"/>
          <w:lang w:eastAsia="ru-RU"/>
        </w:rPr>
        <w:t>подзонах</w:t>
      </w:r>
      <w:proofErr w:type="spellEnd"/>
      <w:r w:rsidRPr="00060D4D">
        <w:rPr>
          <w:rFonts w:ascii="Times New Roman" w:eastAsia="MS Mincho" w:hAnsi="Times New Roman" w:cs="Times New Roman"/>
          <w:b/>
          <w:sz w:val="28"/>
          <w:szCs w:val="24"/>
          <w:u w:color="FFFFFF"/>
          <w:lang w:eastAsia="ru-RU"/>
        </w:rPr>
        <w:t xml:space="preserve"> производственных зон и зонах инженерной и транспортной инфраструктур</w:t>
      </w:r>
    </w:p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46"/>
        <w:gridCol w:w="709"/>
        <w:gridCol w:w="850"/>
        <w:gridCol w:w="851"/>
        <w:gridCol w:w="850"/>
        <w:gridCol w:w="588"/>
        <w:gridCol w:w="785"/>
        <w:gridCol w:w="612"/>
        <w:gridCol w:w="567"/>
      </w:tblGrid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6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812" w:type="dxa"/>
            <w:gridSpan w:val="8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Align w:val="center"/>
          </w:tcPr>
          <w:p w:rsidR="00060D4D" w:rsidRPr="00060D4D" w:rsidRDefault="00060D4D" w:rsidP="00060D4D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60D4D" w:rsidRPr="00060D4D" w:rsidRDefault="00060D4D" w:rsidP="00060D4D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П1-3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П1-4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П1-5</w:t>
            </w:r>
          </w:p>
        </w:tc>
        <w:tc>
          <w:tcPr>
            <w:tcW w:w="588" w:type="dxa"/>
            <w:vAlign w:val="center"/>
          </w:tcPr>
          <w:p w:rsidR="00060D4D" w:rsidRPr="00060D4D" w:rsidRDefault="00060D4D" w:rsidP="00060D4D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П2</w:t>
            </w:r>
          </w:p>
        </w:tc>
        <w:tc>
          <w:tcPr>
            <w:tcW w:w="785" w:type="dxa"/>
            <w:vAlign w:val="center"/>
          </w:tcPr>
          <w:p w:rsidR="00060D4D" w:rsidRPr="00060D4D" w:rsidRDefault="00060D4D" w:rsidP="00060D4D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ПСЗ</w:t>
            </w:r>
          </w:p>
        </w:tc>
        <w:tc>
          <w:tcPr>
            <w:tcW w:w="612" w:type="dxa"/>
            <w:vAlign w:val="center"/>
          </w:tcPr>
          <w:p w:rsidR="00060D4D" w:rsidRPr="00060D4D" w:rsidRDefault="00060D4D" w:rsidP="00060D4D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67" w:type="dxa"/>
            <w:vAlign w:val="center"/>
          </w:tcPr>
          <w:p w:rsidR="00060D4D" w:rsidRPr="00060D4D" w:rsidRDefault="00060D4D" w:rsidP="00060D4D">
            <w:pPr>
              <w:spacing w:after="0" w:line="360" w:lineRule="auto"/>
              <w:jc w:val="center"/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/>
                <w:bCs/>
                <w:sz w:val="24"/>
                <w:szCs w:val="24"/>
                <w:lang w:eastAsia="ru-RU"/>
              </w:rPr>
              <w:t>ИТ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58" w:type="dxa"/>
            <w:gridSpan w:val="9"/>
            <w:shd w:val="clear" w:color="auto" w:fill="D9D9D9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Минимальная площадь земельного участка, </w:t>
            </w:r>
            <w:proofErr w:type="spellStart"/>
            <w:r w:rsidRPr="0006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709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8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5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12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площадь земельного участка, </w:t>
            </w:r>
            <w:proofErr w:type="spellStart"/>
            <w:r w:rsidRPr="0006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709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8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2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8" w:type="dxa"/>
            <w:gridSpan w:val="9"/>
            <w:shd w:val="clear" w:color="auto" w:fill="D9D9D9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Предельная высота зданий, строений, сооружений, м</w:t>
            </w:r>
          </w:p>
        </w:tc>
        <w:tc>
          <w:tcPr>
            <w:tcW w:w="709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8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5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12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8" w:type="dxa"/>
            <w:gridSpan w:val="9"/>
            <w:shd w:val="clear" w:color="auto" w:fill="D9D9D9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Минимальные отступы от границ земельных участков </w:t>
            </w:r>
            <w:r w:rsidRPr="00060D4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709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8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5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8" w:type="dxa"/>
            <w:gridSpan w:val="9"/>
            <w:shd w:val="clear" w:color="auto" w:fill="D9D9D9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процент застройки </w:t>
            </w:r>
            <w:r w:rsidRPr="00060D4D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при размещении производственных объектов, %</w:t>
            </w:r>
          </w:p>
          <w:p w:rsidR="00060D4D" w:rsidRPr="00060D4D" w:rsidRDefault="00060D4D" w:rsidP="00060D4D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8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2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709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8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85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12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процент застройки в границах земельного участка при размещении иных объектов, за исключением случаев, указанных в пунктах настоящей таблицы, %</w:t>
            </w:r>
          </w:p>
        </w:tc>
        <w:tc>
          <w:tcPr>
            <w:tcW w:w="709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8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5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2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58" w:type="dxa"/>
            <w:gridSpan w:val="9"/>
            <w:shd w:val="clear" w:color="auto" w:fill="D9D9D9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показатели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Максимальный размер санитарно-защитной зоны, м</w:t>
            </w:r>
          </w:p>
        </w:tc>
        <w:tc>
          <w:tcPr>
            <w:tcW w:w="709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8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2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60D4D" w:rsidRPr="00060D4D" w:rsidTr="00951A43">
        <w:tc>
          <w:tcPr>
            <w:tcW w:w="540" w:type="dxa"/>
            <w:shd w:val="clear" w:color="auto" w:fill="auto"/>
          </w:tcPr>
          <w:p w:rsidR="00060D4D" w:rsidRPr="00060D4D" w:rsidRDefault="00060D4D" w:rsidP="00060D4D">
            <w:pPr>
              <w:numPr>
                <w:ilvl w:val="0"/>
                <w:numId w:val="11"/>
              </w:numPr>
              <w:spacing w:after="0" w:line="240" w:lineRule="auto"/>
              <w:ind w:left="176" w:hanging="28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6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both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709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8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5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Align w:val="center"/>
          </w:tcPr>
          <w:p w:rsidR="00060D4D" w:rsidRPr="00060D4D" w:rsidRDefault="00060D4D" w:rsidP="00060D4D">
            <w:pPr>
              <w:spacing w:after="0" w:line="240" w:lineRule="auto"/>
              <w:jc w:val="center"/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0D4D">
              <w:rPr>
                <w:rFonts w:ascii="Times New Roman" w:eastAsia="MS Min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</w:p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Статья 39.5. Предельные размеры земельных участков и предельные параметры разрешенного строительства, реконструкции объектов капитального строительства в зоне специального назначения</w:t>
      </w:r>
    </w:p>
    <w:tbl>
      <w:tblPr>
        <w:tblStyle w:val="af6"/>
        <w:tblW w:w="9498" w:type="dxa"/>
        <w:tblInd w:w="108" w:type="dxa"/>
        <w:tblLook w:val="04A0" w:firstRow="1" w:lastRow="0" w:firstColumn="1" w:lastColumn="0" w:noHBand="0" w:noVBand="1"/>
      </w:tblPr>
      <w:tblGrid>
        <w:gridCol w:w="567"/>
        <w:gridCol w:w="4253"/>
        <w:gridCol w:w="4678"/>
      </w:tblGrid>
      <w:tr w:rsidR="00060D4D" w:rsidRPr="00060D4D" w:rsidTr="00951A43">
        <w:tc>
          <w:tcPr>
            <w:tcW w:w="567" w:type="dxa"/>
            <w:vMerge w:val="restart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467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b/>
                <w:sz w:val="24"/>
                <w:szCs w:val="24"/>
              </w:rPr>
              <w:t>Значение предельных размеров земельных участков и предельных параметров разрешенного строительства, реконструкции объектов капитального строительства в территориальных зонах</w:t>
            </w:r>
          </w:p>
        </w:tc>
      </w:tr>
      <w:tr w:rsidR="00060D4D" w:rsidRPr="00060D4D" w:rsidTr="00951A43">
        <w:tc>
          <w:tcPr>
            <w:tcW w:w="567" w:type="dxa"/>
            <w:vMerge/>
          </w:tcPr>
          <w:p w:rsidR="00060D4D" w:rsidRPr="00060D4D" w:rsidRDefault="00060D4D" w:rsidP="00060D4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60D4D" w:rsidRPr="00060D4D" w:rsidRDefault="00060D4D" w:rsidP="00060D4D">
            <w:pPr>
              <w:spacing w:line="360" w:lineRule="auto"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060D4D" w:rsidRPr="00060D4D" w:rsidRDefault="00060D4D" w:rsidP="00060D4D">
            <w:pPr>
              <w:spacing w:line="360" w:lineRule="auto"/>
              <w:jc w:val="center"/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/>
                <w:bCs/>
                <w:sz w:val="24"/>
                <w:szCs w:val="24"/>
              </w:rPr>
              <w:t>Сп1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10"/>
              </w:numPr>
              <w:ind w:left="318" w:hanging="309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Минимальная площадь земельного участка, </w:t>
            </w:r>
            <w:proofErr w:type="spellStart"/>
            <w:r w:rsidRPr="00060D4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467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-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10"/>
              </w:numPr>
              <w:ind w:left="318" w:hanging="309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Максимальная площадь земельного участка, </w:t>
            </w:r>
            <w:proofErr w:type="spellStart"/>
            <w:r w:rsidRPr="00060D4D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467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400000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10"/>
              </w:numPr>
              <w:ind w:left="318" w:hanging="309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Предельная высота зданий, строений, сооружений, м</w:t>
            </w:r>
          </w:p>
        </w:tc>
        <w:tc>
          <w:tcPr>
            <w:tcW w:w="467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20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Минимальные отступы от границ земельных участков </w:t>
            </w: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>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10"/>
              </w:numPr>
              <w:ind w:left="318" w:hanging="309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Минимальный отступ от границ земельных участков до зданий, строений, сооружений м</w:t>
            </w:r>
          </w:p>
        </w:tc>
        <w:tc>
          <w:tcPr>
            <w:tcW w:w="467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1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8931" w:type="dxa"/>
            <w:gridSpan w:val="2"/>
            <w:shd w:val="clear" w:color="auto" w:fill="D9D9D9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hAnsi="Times New Roman"/>
                <w:sz w:val="24"/>
                <w:szCs w:val="24"/>
              </w:rPr>
              <w:t xml:space="preserve">Максимальный процент </w:t>
            </w:r>
            <w:proofErr w:type="gramStart"/>
            <w:r w:rsidRPr="00060D4D">
              <w:rPr>
                <w:rFonts w:ascii="Times New Roman" w:hAnsi="Times New Roman"/>
                <w:sz w:val="24"/>
                <w:szCs w:val="24"/>
              </w:rPr>
              <w:t xml:space="preserve">застройки </w:t>
            </w:r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060D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060D4D" w:rsidRPr="00060D4D" w:rsidTr="00951A43">
        <w:tc>
          <w:tcPr>
            <w:tcW w:w="567" w:type="dxa"/>
          </w:tcPr>
          <w:p w:rsidR="00060D4D" w:rsidRPr="00060D4D" w:rsidRDefault="00060D4D" w:rsidP="00060D4D">
            <w:pPr>
              <w:numPr>
                <w:ilvl w:val="0"/>
                <w:numId w:val="10"/>
              </w:numPr>
              <w:ind w:left="318" w:hanging="309"/>
              <w:contextualSpacing/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</w:tcPr>
          <w:p w:rsidR="00060D4D" w:rsidRPr="00060D4D" w:rsidRDefault="00060D4D" w:rsidP="00060D4D">
            <w:pPr>
              <w:jc w:val="both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Максимальный процент застройки в границах земельного участка, %</w:t>
            </w:r>
          </w:p>
        </w:tc>
        <w:tc>
          <w:tcPr>
            <w:tcW w:w="4678" w:type="dxa"/>
          </w:tcPr>
          <w:p w:rsidR="00060D4D" w:rsidRPr="00060D4D" w:rsidRDefault="00060D4D" w:rsidP="00060D4D">
            <w:pPr>
              <w:jc w:val="center"/>
              <w:rPr>
                <w:rFonts w:ascii="Times New Roman" w:eastAsia="MS MinNew Roman" w:hAnsi="Times New Roman"/>
                <w:bCs/>
                <w:sz w:val="24"/>
                <w:szCs w:val="24"/>
              </w:rPr>
            </w:pPr>
            <w:r w:rsidRPr="00060D4D">
              <w:rPr>
                <w:rFonts w:ascii="Times New Roman" w:eastAsia="MS MinNew Roman" w:hAnsi="Times New Roman"/>
                <w:bCs/>
                <w:sz w:val="24"/>
                <w:szCs w:val="24"/>
              </w:rPr>
              <w:t>50»</w:t>
            </w:r>
          </w:p>
        </w:tc>
      </w:tr>
    </w:tbl>
    <w:p w:rsidR="00060D4D" w:rsidRPr="00060D4D" w:rsidRDefault="00060D4D" w:rsidP="00060D4D">
      <w:pPr>
        <w:spacing w:after="0" w:line="36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2. Опубликовать настоящее решение в газете «Волжская новь» в течение десяти дней со дня принятия.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</w:pPr>
      <w:r w:rsidRPr="00060D4D">
        <w:rPr>
          <w:rFonts w:ascii="Times New Roman" w:eastAsia="MS Mincho" w:hAnsi="Times New Roman" w:cs="Times New Roman"/>
          <w:sz w:val="28"/>
          <w:szCs w:val="24"/>
          <w:u w:color="FFFFFF"/>
          <w:lang w:eastAsia="ru-RU"/>
        </w:rPr>
        <w:t>3. Настоящее решение вступает в силу со дня его официального опубликования.</w:t>
      </w: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60D4D" w:rsidRPr="00060D4D" w:rsidRDefault="00060D4D" w:rsidP="00060D4D">
      <w:pPr>
        <w:spacing w:after="0" w:line="240" w:lineRule="auto"/>
        <w:ind w:firstLine="70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60D4D" w:rsidRPr="00060D4D" w:rsidRDefault="00060D4D" w:rsidP="00060D4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Глава сельского поселения </w:t>
      </w:r>
      <w:proofErr w:type="spellStart"/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060D4D" w:rsidRPr="00060D4D" w:rsidRDefault="00060D4D" w:rsidP="00060D4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района Волжский</w:t>
      </w:r>
    </w:p>
    <w:p w:rsidR="00060D4D" w:rsidRPr="00060D4D" w:rsidRDefault="00060D4D" w:rsidP="00060D4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Самарской области</w:t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>В.Л. Жуков</w:t>
      </w:r>
    </w:p>
    <w:p w:rsidR="00060D4D" w:rsidRPr="00060D4D" w:rsidRDefault="00060D4D" w:rsidP="00060D4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060D4D" w:rsidRPr="00060D4D" w:rsidRDefault="00060D4D" w:rsidP="00060D4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Председатель Собрания представителей</w:t>
      </w:r>
    </w:p>
    <w:p w:rsidR="00060D4D" w:rsidRPr="00060D4D" w:rsidRDefault="00060D4D" w:rsidP="00060D4D">
      <w:p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060D4D" w:rsidRPr="00060D4D" w:rsidRDefault="00060D4D" w:rsidP="00060D4D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района Волжский</w:t>
      </w:r>
    </w:p>
    <w:p w:rsidR="00060D4D" w:rsidRPr="00060D4D" w:rsidRDefault="00060D4D" w:rsidP="00060D4D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Самарской области</w:t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А.И. </w:t>
      </w:r>
      <w:proofErr w:type="spellStart"/>
      <w:r w:rsidRPr="00060D4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Андреянов</w:t>
      </w:r>
      <w:proofErr w:type="spellEnd"/>
    </w:p>
    <w:p w:rsidR="001E7730" w:rsidRPr="00060D4D" w:rsidRDefault="00060D4D">
      <w:pPr>
        <w:rPr>
          <w:b/>
        </w:rPr>
      </w:pPr>
      <w:bookmarkStart w:id="0" w:name="_GoBack"/>
      <w:bookmarkEnd w:id="0"/>
    </w:p>
    <w:sectPr w:rsidR="001E7730" w:rsidRPr="0006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50" w:rsidRDefault="00060D4D" w:rsidP="007A59D2">
    <w:pPr>
      <w:pStyle w:val="a3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2</w:t>
    </w:r>
    <w:r>
      <w:rPr>
        <w:rStyle w:val="afa"/>
      </w:rPr>
      <w:fldChar w:fldCharType="end"/>
    </w:r>
  </w:p>
  <w:p w:rsidR="00D91C50" w:rsidRDefault="00060D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50" w:rsidRPr="00632C8A" w:rsidRDefault="00060D4D" w:rsidP="007A59D2">
    <w:pPr>
      <w:pStyle w:val="a3"/>
      <w:framePr w:wrap="around" w:vAnchor="text" w:hAnchor="margin" w:xAlign="center" w:y="1"/>
      <w:rPr>
        <w:rStyle w:val="afa"/>
        <w:rFonts w:ascii="Times New Roman" w:hAnsi="Times New Roman"/>
      </w:rPr>
    </w:pPr>
    <w:r w:rsidRPr="00632C8A">
      <w:rPr>
        <w:rStyle w:val="afa"/>
        <w:rFonts w:ascii="Times New Roman" w:hAnsi="Times New Roman"/>
      </w:rPr>
      <w:fldChar w:fldCharType="begin"/>
    </w:r>
    <w:r w:rsidRPr="00632C8A">
      <w:rPr>
        <w:rStyle w:val="afa"/>
        <w:rFonts w:ascii="Times New Roman" w:hAnsi="Times New Roman"/>
      </w:rPr>
      <w:instrText xml:space="preserve">PAGE  </w:instrText>
    </w:r>
    <w:r w:rsidRPr="00632C8A">
      <w:rPr>
        <w:rStyle w:val="afa"/>
        <w:rFonts w:ascii="Times New Roman" w:hAnsi="Times New Roman"/>
      </w:rPr>
      <w:fldChar w:fldCharType="separate"/>
    </w:r>
    <w:r>
      <w:rPr>
        <w:rStyle w:val="afa"/>
        <w:rFonts w:ascii="Times New Roman" w:hAnsi="Times New Roman"/>
        <w:noProof/>
      </w:rPr>
      <w:t>7</w:t>
    </w:r>
    <w:r w:rsidRPr="00632C8A">
      <w:rPr>
        <w:rStyle w:val="afa"/>
        <w:rFonts w:ascii="Times New Roman" w:hAnsi="Times New Roman"/>
      </w:rPr>
      <w:fldChar w:fldCharType="end"/>
    </w:r>
  </w:p>
  <w:p w:rsidR="00D91C50" w:rsidRDefault="00060D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50" w:rsidRDefault="00060D4D" w:rsidP="007A59D2">
    <w:pPr>
      <w:pStyle w:val="a3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  <w:noProof/>
      </w:rPr>
      <w:t>2</w:t>
    </w:r>
    <w:r>
      <w:rPr>
        <w:rStyle w:val="afa"/>
      </w:rPr>
      <w:fldChar w:fldCharType="end"/>
    </w:r>
  </w:p>
  <w:p w:rsidR="00D91C50" w:rsidRDefault="00060D4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C50" w:rsidRPr="00632C8A" w:rsidRDefault="00060D4D" w:rsidP="007A59D2">
    <w:pPr>
      <w:pStyle w:val="a3"/>
      <w:framePr w:wrap="around" w:vAnchor="text" w:hAnchor="margin" w:xAlign="center" w:y="1"/>
      <w:rPr>
        <w:rStyle w:val="afa"/>
        <w:rFonts w:ascii="Times New Roman" w:hAnsi="Times New Roman"/>
      </w:rPr>
    </w:pPr>
    <w:r w:rsidRPr="00632C8A">
      <w:rPr>
        <w:rStyle w:val="afa"/>
        <w:rFonts w:ascii="Times New Roman" w:hAnsi="Times New Roman"/>
      </w:rPr>
      <w:fldChar w:fldCharType="begin"/>
    </w:r>
    <w:r w:rsidRPr="00632C8A">
      <w:rPr>
        <w:rStyle w:val="afa"/>
        <w:rFonts w:ascii="Times New Roman" w:hAnsi="Times New Roman"/>
      </w:rPr>
      <w:instrText xml:space="preserve">PAGE  </w:instrText>
    </w:r>
    <w:r w:rsidRPr="00632C8A">
      <w:rPr>
        <w:rStyle w:val="afa"/>
        <w:rFonts w:ascii="Times New Roman" w:hAnsi="Times New Roman"/>
      </w:rPr>
      <w:fldChar w:fldCharType="separate"/>
    </w:r>
    <w:r>
      <w:rPr>
        <w:rStyle w:val="afa"/>
        <w:rFonts w:ascii="Times New Roman" w:hAnsi="Times New Roman"/>
        <w:noProof/>
      </w:rPr>
      <w:t>17</w:t>
    </w:r>
    <w:r w:rsidRPr="00632C8A">
      <w:rPr>
        <w:rStyle w:val="afa"/>
        <w:rFonts w:ascii="Times New Roman" w:hAnsi="Times New Roman"/>
      </w:rPr>
      <w:fldChar w:fldCharType="end"/>
    </w:r>
  </w:p>
  <w:p w:rsidR="00D91C50" w:rsidRDefault="00060D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3D6C"/>
    <w:multiLevelType w:val="hybridMultilevel"/>
    <w:tmpl w:val="6E4CF3A8"/>
    <w:lvl w:ilvl="0" w:tplc="A9967ACC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3114C55"/>
    <w:multiLevelType w:val="hybridMultilevel"/>
    <w:tmpl w:val="339081B2"/>
    <w:lvl w:ilvl="0" w:tplc="E9527E78">
      <w:start w:val="1"/>
      <w:numFmt w:val="decimal"/>
      <w:lvlText w:val="%1."/>
      <w:lvlJc w:val="left"/>
      <w:pPr>
        <w:ind w:left="1740" w:hanging="1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4C94FAE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41271"/>
    <w:multiLevelType w:val="hybridMultilevel"/>
    <w:tmpl w:val="66900912"/>
    <w:lvl w:ilvl="0" w:tplc="78E0C48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5F24CA4"/>
    <w:multiLevelType w:val="hybridMultilevel"/>
    <w:tmpl w:val="0534EA8A"/>
    <w:lvl w:ilvl="0" w:tplc="2EBAF56E">
      <w:start w:val="17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76E94"/>
    <w:multiLevelType w:val="hybridMultilevel"/>
    <w:tmpl w:val="EF508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34DA"/>
    <w:multiLevelType w:val="hybridMultilevel"/>
    <w:tmpl w:val="66900912"/>
    <w:lvl w:ilvl="0" w:tplc="78E0C48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7C76F30"/>
    <w:multiLevelType w:val="hybridMultilevel"/>
    <w:tmpl w:val="61D46A58"/>
    <w:lvl w:ilvl="0" w:tplc="80105294">
      <w:start w:val="1"/>
      <w:numFmt w:val="decimal"/>
      <w:lvlText w:val="%1."/>
      <w:lvlJc w:val="left"/>
      <w:pPr>
        <w:ind w:left="2031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B56E78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B7135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D2111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941A79"/>
    <w:multiLevelType w:val="hybridMultilevel"/>
    <w:tmpl w:val="0534EA8A"/>
    <w:lvl w:ilvl="0" w:tplc="2EBAF56E">
      <w:start w:val="17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418C6"/>
    <w:multiLevelType w:val="hybridMultilevel"/>
    <w:tmpl w:val="42AE9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7832"/>
    <w:multiLevelType w:val="hybridMultilevel"/>
    <w:tmpl w:val="66900912"/>
    <w:lvl w:ilvl="0" w:tplc="78E0C48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8880366"/>
    <w:multiLevelType w:val="hybridMultilevel"/>
    <w:tmpl w:val="66900912"/>
    <w:lvl w:ilvl="0" w:tplc="78E0C48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FBF5390"/>
    <w:multiLevelType w:val="hybridMultilevel"/>
    <w:tmpl w:val="AB788C84"/>
    <w:lvl w:ilvl="0" w:tplc="9EDCCD4E">
      <w:start w:val="1"/>
      <w:numFmt w:val="decimal"/>
      <w:lvlText w:val="%1)"/>
      <w:lvlJc w:val="left"/>
      <w:pPr>
        <w:ind w:left="1680" w:hanging="9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71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0DC4"/>
    <w:multiLevelType w:val="hybridMultilevel"/>
    <w:tmpl w:val="BBC619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3B4AA4"/>
    <w:multiLevelType w:val="hybridMultilevel"/>
    <w:tmpl w:val="0534EA8A"/>
    <w:lvl w:ilvl="0" w:tplc="2EBAF56E">
      <w:start w:val="17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75DFB"/>
    <w:multiLevelType w:val="hybridMultilevel"/>
    <w:tmpl w:val="66900912"/>
    <w:lvl w:ilvl="0" w:tplc="78E0C48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30945"/>
    <w:multiLevelType w:val="hybridMultilevel"/>
    <w:tmpl w:val="0534EA8A"/>
    <w:lvl w:ilvl="0" w:tplc="2EBAF56E">
      <w:start w:val="17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2608C"/>
    <w:multiLevelType w:val="hybridMultilevel"/>
    <w:tmpl w:val="B936DB6A"/>
    <w:lvl w:ilvl="0" w:tplc="96D29B0C">
      <w:start w:val="1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4" w15:restartNumberingAfterBreak="0">
    <w:nsid w:val="7D4176F8"/>
    <w:multiLevelType w:val="hybridMultilevel"/>
    <w:tmpl w:val="D0DE7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10"/>
  </w:num>
  <w:num w:numId="5">
    <w:abstractNumId w:val="21"/>
  </w:num>
  <w:num w:numId="6">
    <w:abstractNumId w:val="13"/>
  </w:num>
  <w:num w:numId="7">
    <w:abstractNumId w:val="17"/>
  </w:num>
  <w:num w:numId="8">
    <w:abstractNumId w:val="8"/>
  </w:num>
  <w:num w:numId="9">
    <w:abstractNumId w:val="24"/>
  </w:num>
  <w:num w:numId="10">
    <w:abstractNumId w:val="2"/>
  </w:num>
  <w:num w:numId="11">
    <w:abstractNumId w:val="5"/>
  </w:num>
  <w:num w:numId="12">
    <w:abstractNumId w:val="16"/>
  </w:num>
  <w:num w:numId="13">
    <w:abstractNumId w:val="23"/>
  </w:num>
  <w:num w:numId="14">
    <w:abstractNumId w:val="6"/>
  </w:num>
  <w:num w:numId="15">
    <w:abstractNumId w:val="0"/>
  </w:num>
  <w:num w:numId="16">
    <w:abstractNumId w:val="15"/>
  </w:num>
  <w:num w:numId="17">
    <w:abstractNumId w:val="14"/>
  </w:num>
  <w:num w:numId="18">
    <w:abstractNumId w:val="20"/>
  </w:num>
  <w:num w:numId="19">
    <w:abstractNumId w:val="3"/>
  </w:num>
  <w:num w:numId="20">
    <w:abstractNumId w:val="25"/>
  </w:num>
  <w:num w:numId="21">
    <w:abstractNumId w:val="12"/>
  </w:num>
  <w:num w:numId="22">
    <w:abstractNumId w:val="4"/>
  </w:num>
  <w:num w:numId="23">
    <w:abstractNumId w:val="19"/>
  </w:num>
  <w:num w:numId="24">
    <w:abstractNumId w:val="11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74"/>
    <w:rsid w:val="00060D4D"/>
    <w:rsid w:val="001F2A1E"/>
    <w:rsid w:val="007D2432"/>
    <w:rsid w:val="007D5574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151FF-4186-4582-8703-CA5F592B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1E"/>
  </w:style>
  <w:style w:type="paragraph" w:styleId="1">
    <w:name w:val="heading 1"/>
    <w:basedOn w:val="a"/>
    <w:next w:val="a"/>
    <w:link w:val="10"/>
    <w:qFormat/>
    <w:rsid w:val="00060D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D4D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D4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0D4D"/>
    <w:rPr>
      <w:rFonts w:ascii="Calibri" w:eastAsia="MS Gothic" w:hAnsi="Calibri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0D4D"/>
  </w:style>
  <w:style w:type="paragraph" w:styleId="a3">
    <w:name w:val="header"/>
    <w:basedOn w:val="a"/>
    <w:link w:val="a4"/>
    <w:uiPriority w:val="99"/>
    <w:unhideWhenUsed/>
    <w:rsid w:val="00060D4D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60D4D"/>
    <w:rPr>
      <w:rFonts w:ascii="Cambria" w:eastAsia="MS Mincho" w:hAnsi="Cambria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60D4D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60D4D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7">
    <w:name w:val="Схема документа Знак"/>
    <w:basedOn w:val="a0"/>
    <w:link w:val="a8"/>
    <w:uiPriority w:val="99"/>
    <w:semiHidden/>
    <w:rsid w:val="00060D4D"/>
    <w:rPr>
      <w:rFonts w:ascii="Lucida Grande CY" w:eastAsia="MS Mincho" w:hAnsi="Lucida Grande CY" w:cs="Lucida Grande CY"/>
    </w:rPr>
  </w:style>
  <w:style w:type="paragraph" w:styleId="a8">
    <w:name w:val="Document Map"/>
    <w:basedOn w:val="a"/>
    <w:link w:val="a7"/>
    <w:uiPriority w:val="99"/>
    <w:semiHidden/>
    <w:unhideWhenUsed/>
    <w:rsid w:val="00060D4D"/>
    <w:pPr>
      <w:spacing w:after="0" w:line="240" w:lineRule="auto"/>
    </w:pPr>
    <w:rPr>
      <w:rFonts w:ascii="Lucida Grande CY" w:eastAsia="MS Mincho" w:hAnsi="Lucida Grande CY" w:cs="Lucida Grande CY"/>
    </w:rPr>
  </w:style>
  <w:style w:type="character" w:customStyle="1" w:styleId="12">
    <w:name w:val="Схема документа Знак1"/>
    <w:basedOn w:val="a0"/>
    <w:uiPriority w:val="99"/>
    <w:semiHidden/>
    <w:rsid w:val="00060D4D"/>
    <w:rPr>
      <w:rFonts w:ascii="Segoe UI" w:hAnsi="Segoe UI" w:cs="Segoe UI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060D4D"/>
    <w:pPr>
      <w:spacing w:after="0" w:line="240" w:lineRule="auto"/>
    </w:pPr>
    <w:rPr>
      <w:rFonts w:ascii="Lucida Grande CY" w:eastAsia="MS Mincho" w:hAnsi="Lucida Grande CY" w:cs="Lucida Grande CY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60D4D"/>
    <w:rPr>
      <w:rFonts w:ascii="Lucida Grande CY" w:eastAsia="MS Mincho" w:hAnsi="Lucida Grande CY" w:cs="Lucida Grande CY"/>
      <w:sz w:val="18"/>
      <w:szCs w:val="18"/>
      <w:lang w:eastAsia="ru-RU"/>
    </w:rPr>
  </w:style>
  <w:style w:type="paragraph" w:styleId="ab">
    <w:name w:val="List Paragraph"/>
    <w:basedOn w:val="a"/>
    <w:uiPriority w:val="99"/>
    <w:qFormat/>
    <w:rsid w:val="00060D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unhideWhenUsed/>
    <w:rsid w:val="00060D4D"/>
    <w:rPr>
      <w:sz w:val="18"/>
      <w:szCs w:val="18"/>
    </w:rPr>
  </w:style>
  <w:style w:type="paragraph" w:styleId="ad">
    <w:name w:val="annotation text"/>
    <w:basedOn w:val="a"/>
    <w:link w:val="ae"/>
    <w:unhideWhenUsed/>
    <w:rsid w:val="00060D4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e">
    <w:name w:val="Текст примечания Знак"/>
    <w:basedOn w:val="a0"/>
    <w:link w:val="ad"/>
    <w:rsid w:val="00060D4D"/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">
    <w:name w:val="Тема примечания Знак"/>
    <w:link w:val="af0"/>
    <w:uiPriority w:val="99"/>
    <w:semiHidden/>
    <w:rsid w:val="00060D4D"/>
    <w:rPr>
      <w:rFonts w:eastAsia="MS Mincho"/>
      <w:b/>
      <w:bCs/>
    </w:rPr>
  </w:style>
  <w:style w:type="paragraph" w:customStyle="1" w:styleId="13">
    <w:name w:val="Тема примечания1"/>
    <w:basedOn w:val="ad"/>
    <w:next w:val="ad"/>
    <w:uiPriority w:val="99"/>
    <w:semiHidden/>
    <w:unhideWhenUsed/>
    <w:rsid w:val="00060D4D"/>
    <w:rPr>
      <w:b/>
      <w:bCs/>
    </w:rPr>
  </w:style>
  <w:style w:type="character" w:customStyle="1" w:styleId="14">
    <w:name w:val="Тема примечания Знак1"/>
    <w:basedOn w:val="ae"/>
    <w:uiPriority w:val="99"/>
    <w:semiHidden/>
    <w:rsid w:val="00060D4D"/>
    <w:rPr>
      <w:rFonts w:ascii="Cambria" w:eastAsia="MS Mincho" w:hAnsi="Cambria" w:cs="Times New Roman"/>
      <w:b/>
      <w:bCs/>
      <w:sz w:val="24"/>
      <w:szCs w:val="24"/>
      <w:lang w:eastAsia="ru-RU"/>
    </w:rPr>
  </w:style>
  <w:style w:type="paragraph" w:customStyle="1" w:styleId="af1">
    <w:name w:val="Основной стиль"/>
    <w:basedOn w:val="a"/>
    <w:link w:val="af2"/>
    <w:uiPriority w:val="99"/>
    <w:rsid w:val="00060D4D"/>
    <w:pPr>
      <w:spacing w:after="0" w:line="240" w:lineRule="auto"/>
      <w:ind w:firstLine="680"/>
      <w:jc w:val="both"/>
    </w:pPr>
    <w:rPr>
      <w:rFonts w:ascii="Arial" w:eastAsia="Times New Roman" w:hAnsi="Arial" w:cs="Times New Roman"/>
      <w:sz w:val="24"/>
      <w:szCs w:val="28"/>
      <w:lang w:eastAsia="ru-RU"/>
    </w:rPr>
  </w:style>
  <w:style w:type="character" w:customStyle="1" w:styleId="af2">
    <w:name w:val="Основной стиль Знак"/>
    <w:link w:val="af1"/>
    <w:uiPriority w:val="99"/>
    <w:rsid w:val="00060D4D"/>
    <w:rPr>
      <w:rFonts w:ascii="Arial" w:eastAsia="Times New Roman" w:hAnsi="Arial" w:cs="Times New Roman"/>
      <w:sz w:val="24"/>
      <w:szCs w:val="28"/>
      <w:lang w:eastAsia="ru-RU"/>
    </w:rPr>
  </w:style>
  <w:style w:type="paragraph" w:customStyle="1" w:styleId="af3">
    <w:name w:val="Стиль названия"/>
    <w:basedOn w:val="a"/>
    <w:rsid w:val="00060D4D"/>
    <w:pPr>
      <w:spacing w:after="60" w:line="240" w:lineRule="auto"/>
      <w:ind w:firstLine="680"/>
      <w:jc w:val="both"/>
    </w:pPr>
    <w:rPr>
      <w:rFonts w:ascii="Arial" w:eastAsia="Times New Roman" w:hAnsi="Arial" w:cs="Times New Roman"/>
      <w:b/>
      <w:i/>
      <w:sz w:val="24"/>
      <w:szCs w:val="28"/>
      <w:lang w:eastAsia="ru-RU"/>
    </w:rPr>
  </w:style>
  <w:style w:type="paragraph" w:customStyle="1" w:styleId="af4">
    <w:name w:val="Стиль части"/>
    <w:basedOn w:val="1"/>
    <w:rsid w:val="00060D4D"/>
    <w:pPr>
      <w:spacing w:before="0"/>
      <w:jc w:val="center"/>
    </w:pPr>
    <w:rPr>
      <w:bCs w:val="0"/>
      <w:kern w:val="28"/>
      <w:sz w:val="28"/>
    </w:rPr>
  </w:style>
  <w:style w:type="paragraph" w:customStyle="1" w:styleId="ConsPlusNormal">
    <w:name w:val="ConsPlusNormal"/>
    <w:rsid w:val="00060D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60D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1">
    <w:name w:val="Style11"/>
    <w:basedOn w:val="a"/>
    <w:rsid w:val="00060D4D"/>
    <w:pPr>
      <w:widowControl w:val="0"/>
      <w:autoSpaceDE w:val="0"/>
      <w:autoSpaceDN w:val="0"/>
      <w:adjustRightInd w:val="0"/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rsid w:val="00060D4D"/>
    <w:rPr>
      <w:rFonts w:cs="Times New Roman"/>
      <w:color w:val="0000FF"/>
      <w:u w:val="single"/>
    </w:rPr>
  </w:style>
  <w:style w:type="table" w:styleId="af6">
    <w:name w:val="Table Grid"/>
    <w:basedOn w:val="a1"/>
    <w:uiPriority w:val="59"/>
    <w:rsid w:val="00060D4D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unhideWhenUsed/>
    <w:rsid w:val="00060D4D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060D4D"/>
    <w:rPr>
      <w:rFonts w:ascii="Cambria" w:eastAsia="MS Mincho" w:hAnsi="Cambria" w:cs="Times New Roman"/>
      <w:sz w:val="24"/>
      <w:szCs w:val="24"/>
      <w:lang w:eastAsia="ru-RU"/>
    </w:rPr>
  </w:style>
  <w:style w:type="character" w:styleId="af9">
    <w:name w:val="footnote reference"/>
    <w:basedOn w:val="a0"/>
    <w:uiPriority w:val="99"/>
    <w:unhideWhenUsed/>
    <w:rsid w:val="00060D4D"/>
    <w:rPr>
      <w:vertAlign w:val="superscript"/>
    </w:rPr>
  </w:style>
  <w:style w:type="paragraph" w:customStyle="1" w:styleId="15">
    <w:name w:val="Абзац списка1"/>
    <w:basedOn w:val="a"/>
    <w:rsid w:val="00060D4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Абзац списка2"/>
    <w:basedOn w:val="a"/>
    <w:rsid w:val="00060D4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rsid w:val="00060D4D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page number"/>
    <w:uiPriority w:val="99"/>
    <w:semiHidden/>
    <w:unhideWhenUsed/>
    <w:rsid w:val="00060D4D"/>
  </w:style>
  <w:style w:type="paragraph" w:styleId="af0">
    <w:name w:val="annotation subject"/>
    <w:basedOn w:val="ad"/>
    <w:next w:val="ad"/>
    <w:link w:val="af"/>
    <w:uiPriority w:val="99"/>
    <w:semiHidden/>
    <w:unhideWhenUsed/>
    <w:rsid w:val="00060D4D"/>
    <w:pPr>
      <w:spacing w:after="160"/>
    </w:pPr>
    <w:rPr>
      <w:rFonts w:asciiTheme="minorHAnsi" w:hAnsiTheme="minorHAnsi" w:cstheme="minorBidi"/>
      <w:b/>
      <w:bCs/>
      <w:sz w:val="22"/>
      <w:szCs w:val="22"/>
      <w:lang w:eastAsia="en-US"/>
    </w:rPr>
  </w:style>
  <w:style w:type="character" w:customStyle="1" w:styleId="22">
    <w:name w:val="Тема примечания Знак2"/>
    <w:basedOn w:val="ae"/>
    <w:link w:val="af0"/>
    <w:uiPriority w:val="99"/>
    <w:semiHidden/>
    <w:rsid w:val="00060D4D"/>
    <w:rPr>
      <w:rFonts w:ascii="Cambria" w:eastAsia="MS Mincho" w:hAnsi="Cambria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4302</Words>
  <Characters>24522</Characters>
  <Application>Microsoft Office Word</Application>
  <DocSecurity>0</DocSecurity>
  <Lines>204</Lines>
  <Paragraphs>57</Paragraphs>
  <ScaleCrop>false</ScaleCrop>
  <Company/>
  <LinksUpToDate>false</LinksUpToDate>
  <CharactersWithSpaces>28767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2016-12-29T04:51:00Z</dcterms:created>
  <dcterms:modified xsi:type="dcterms:W3CDTF">2016-12-29T04:55:00Z</dcterms:modified>
</cp:coreProperties>
</file>