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726A" w14:textId="77777777" w:rsidR="000F3FC2" w:rsidRPr="00C43C14" w:rsidRDefault="000F3FC2" w:rsidP="000F3FC2">
      <w:pPr>
        <w:pStyle w:val="Firstlineindent"/>
        <w:tabs>
          <w:tab w:val="left" w:pos="6521"/>
        </w:tabs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3C14">
        <w:rPr>
          <w:rFonts w:ascii="Times New Roman" w:hAnsi="Times New Roman" w:cs="Times New Roman"/>
          <w:sz w:val="28"/>
          <w:szCs w:val="28"/>
        </w:rPr>
        <w:t>Приложение</w:t>
      </w:r>
    </w:p>
    <w:p w14:paraId="09A90708" w14:textId="77777777" w:rsidR="000F3FC2" w:rsidRPr="00C43C14" w:rsidRDefault="000F3FC2" w:rsidP="00AB1CC1">
      <w:pPr>
        <w:pStyle w:val="Firstlineindent"/>
        <w:ind w:left="5954" w:firstLine="0"/>
        <w:rPr>
          <w:rFonts w:ascii="Times New Roman" w:hAnsi="Times New Roman" w:cs="Times New Roman"/>
          <w:sz w:val="28"/>
          <w:szCs w:val="28"/>
        </w:rPr>
      </w:pPr>
      <w:r w:rsidRPr="00C43C14">
        <w:rPr>
          <w:rFonts w:ascii="Times New Roman" w:hAnsi="Times New Roman" w:cs="Times New Roman"/>
          <w:sz w:val="28"/>
          <w:szCs w:val="28"/>
        </w:rPr>
        <w:t>к письму Главного управления</w:t>
      </w:r>
      <w:r w:rsidRPr="00C43C14">
        <w:rPr>
          <w:rFonts w:ascii="Times New Roman" w:hAnsi="Times New Roman" w:cs="Times New Roman"/>
          <w:sz w:val="28"/>
          <w:szCs w:val="28"/>
        </w:rPr>
        <w:br/>
        <w:t>МЧС России по Самарской области</w:t>
      </w:r>
    </w:p>
    <w:p w14:paraId="347F6C10" w14:textId="77777777" w:rsidR="000F3FC2" w:rsidRPr="00C43C14" w:rsidRDefault="000F3FC2" w:rsidP="000F3FC2">
      <w:pPr>
        <w:pStyle w:val="Firstlineindent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17617775" w14:textId="77777777" w:rsidR="000F3FC2" w:rsidRPr="00C43C14" w:rsidRDefault="000F3FC2" w:rsidP="000F3FC2">
      <w:pPr>
        <w:pStyle w:val="Firstlineindent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6F5BB513" w14:textId="60C4892A" w:rsidR="00135A80" w:rsidRPr="000F3FC2" w:rsidRDefault="00154A43" w:rsidP="000F3FC2">
      <w:pPr>
        <w:jc w:val="center"/>
        <w:rPr>
          <w:b/>
          <w:bCs/>
        </w:rPr>
      </w:pPr>
      <w:r>
        <w:rPr>
          <w:b/>
          <w:bCs/>
        </w:rPr>
        <w:t>Выдержка из федерального законодательства и нормативно-правовых актов Российской Федерации</w:t>
      </w:r>
      <w:r w:rsidRPr="000F3FC2">
        <w:rPr>
          <w:b/>
          <w:bCs/>
        </w:rPr>
        <w:t xml:space="preserve"> по реализации мер пожарной безопасности в населенных пунктах, содержанию земельных участков в части своевременной уборки сухой прошлогодней растительности и покоса травы, в том числе на неиспользуемых землях и земельных участках, мерах пожарной безопасности при использовании открытого огня</w:t>
      </w:r>
    </w:p>
    <w:p w14:paraId="777A1D43" w14:textId="77777777" w:rsidR="00135A80" w:rsidRDefault="00135A80" w:rsidP="002E3307"/>
    <w:p w14:paraId="1284CB64" w14:textId="383DA079" w:rsidR="009843B8" w:rsidRDefault="009843B8" w:rsidP="009843B8">
      <w:pPr>
        <w:ind w:firstLine="709"/>
      </w:pPr>
      <w:r>
        <w:t>Настоящий документ разработан в целях методического обеспечения деятельности органов местного самоуправления и правообладателей земельных участков по соблюдению требований пожарной безопасности, установленных Правилами противопожарного режима в Российской Федерации, утвержденными постановлением Правительства Российской Федерации от 16.09.2020 № 1479 (далее – Правила), и положениями Федерального закона от 21.12.1994 № 69-ФЗ «О пожарной безопасности»</w:t>
      </w:r>
      <w:r w:rsidR="008910DA">
        <w:t xml:space="preserve"> (далее – Федеральный закон № 69-ФЗ)</w:t>
      </w:r>
      <w:r>
        <w:t>.</w:t>
      </w:r>
    </w:p>
    <w:p w14:paraId="13F69492" w14:textId="77777777" w:rsidR="009843B8" w:rsidRDefault="009843B8" w:rsidP="009843B8">
      <w:pPr>
        <w:ind w:firstLine="709"/>
      </w:pPr>
    </w:p>
    <w:p w14:paraId="6689A121" w14:textId="2BF855E9" w:rsidR="008C49F9" w:rsidRDefault="008C49F9" w:rsidP="008C49F9">
      <w:pPr>
        <w:ind w:firstLine="709"/>
      </w:pPr>
      <w:r>
        <w:t xml:space="preserve">В соответствии со статьей 19 </w:t>
      </w:r>
      <w:r w:rsidRPr="008C49F9">
        <w:t>Федеральн</w:t>
      </w:r>
      <w:r>
        <w:t>ого</w:t>
      </w:r>
      <w:r w:rsidRPr="008C49F9">
        <w:t xml:space="preserve"> закон</w:t>
      </w:r>
      <w:r>
        <w:t>а</w:t>
      </w:r>
      <w:r w:rsidRPr="008C49F9">
        <w:t xml:space="preserve"> </w:t>
      </w:r>
      <w:r>
        <w:t>№</w:t>
      </w:r>
      <w:r w:rsidRPr="008C49F9">
        <w:t xml:space="preserve"> 69-ФЗ</w:t>
      </w:r>
      <w:r w:rsidR="008910DA">
        <w:t xml:space="preserve"> </w:t>
      </w:r>
      <w:r>
        <w:t>к полномочиям органов местного самоуправления поселений, муниципальных, городских округов, внутригородских районов по обеспечению первичных мер пожарной безопасности в границах сельских населенных пунктов относятся:</w:t>
      </w:r>
    </w:p>
    <w:p w14:paraId="48F759E9" w14:textId="77777777" w:rsidR="008C49F9" w:rsidRDefault="008C49F9" w:rsidP="008C49F9">
      <w:pPr>
        <w:ind w:firstLine="709"/>
      </w:pPr>
      <w: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14:paraId="54412133" w14:textId="77777777" w:rsidR="008C49F9" w:rsidRDefault="008C49F9" w:rsidP="008C49F9">
      <w:pPr>
        <w:ind w:firstLine="709"/>
      </w:pPr>
      <w:r>
        <w:t>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14:paraId="61A38E65" w14:textId="77777777" w:rsidR="008C49F9" w:rsidRDefault="008C49F9" w:rsidP="008C49F9">
      <w:pPr>
        <w:ind w:firstLine="709"/>
      </w:pPr>
      <w:r>
        <w:t>оснащение территорий общего пользования первичными средствами тушения пожаров и противопожарным инвентарем;</w:t>
      </w:r>
    </w:p>
    <w:p w14:paraId="5A9AB5F8" w14:textId="77777777" w:rsidR="008C49F9" w:rsidRDefault="008C49F9" w:rsidP="008C49F9">
      <w:pPr>
        <w:ind w:firstLine="709"/>
      </w:pPr>
      <w:r>
        <w:t>организация и принятие мер по оповещению населения и подразделений Государственной противопожарной службы о пожаре;</w:t>
      </w:r>
    </w:p>
    <w:p w14:paraId="7C43DFE7" w14:textId="77777777" w:rsidR="008C49F9" w:rsidRDefault="008C49F9" w:rsidP="008C49F9">
      <w:pPr>
        <w:ind w:firstLine="709"/>
      </w:pPr>
      <w: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14:paraId="52F1A7F0" w14:textId="77777777" w:rsidR="008C49F9" w:rsidRDefault="008C49F9" w:rsidP="008C49F9">
      <w:pPr>
        <w:ind w:firstLine="709"/>
      </w:pPr>
      <w:r>
        <w:t>включение мероприятий по обеспечению пожарной безопасности в планы, схемы и программы развития территорий поселений, муниципальных и городских округов;</w:t>
      </w:r>
    </w:p>
    <w:p w14:paraId="1BC48851" w14:textId="77777777" w:rsidR="008C49F9" w:rsidRDefault="008C49F9" w:rsidP="008C49F9">
      <w:pPr>
        <w:ind w:firstLine="709"/>
      </w:pPr>
      <w:r>
        <w:t>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населения;</w:t>
      </w:r>
    </w:p>
    <w:p w14:paraId="5DAE5501" w14:textId="77777777" w:rsidR="008C49F9" w:rsidRDefault="008C49F9" w:rsidP="008C49F9">
      <w:pPr>
        <w:ind w:firstLine="709"/>
      </w:pPr>
      <w:r>
        <w:t>установление особого противопожарного режима в случае повышения пожарной опасности.</w:t>
      </w:r>
    </w:p>
    <w:p w14:paraId="03FFEF71" w14:textId="77777777" w:rsidR="008C49F9" w:rsidRDefault="008C49F9" w:rsidP="008C49F9">
      <w:pPr>
        <w:ind w:firstLine="709"/>
      </w:pPr>
      <w:r>
        <w:lastRenderedPageBreak/>
        <w:t>К полномочиям органов местного самоуправления поселений, муниципальных, городских округов, внутригородских районов по обеспечению первичных мер пожарной безопасности в границах городских населенных пунктов относятся:</w:t>
      </w:r>
    </w:p>
    <w:p w14:paraId="0C9180FE" w14:textId="77777777" w:rsidR="008C49F9" w:rsidRDefault="008C49F9" w:rsidP="008C49F9">
      <w:pPr>
        <w:ind w:firstLine="709"/>
      </w:pPr>
      <w: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14:paraId="450E59EE" w14:textId="77777777" w:rsidR="008C49F9" w:rsidRDefault="008C49F9" w:rsidP="008C49F9">
      <w:pPr>
        <w:ind w:firstLine="709"/>
      </w:pPr>
      <w:r>
        <w:t>включение мероприятий по обеспечению пожарной безопасности в планы, схемы и программы развития территорий поселений, муниципальных и городских округов;</w:t>
      </w:r>
    </w:p>
    <w:p w14:paraId="529CC824" w14:textId="77777777" w:rsidR="008C49F9" w:rsidRDefault="008C49F9" w:rsidP="008C49F9">
      <w:pPr>
        <w:ind w:firstLine="709"/>
      </w:pPr>
      <w:r>
        <w:t>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населения;</w:t>
      </w:r>
    </w:p>
    <w:p w14:paraId="63B6EE42" w14:textId="77777777" w:rsidR="008C49F9" w:rsidRDefault="008C49F9" w:rsidP="008C49F9">
      <w:pPr>
        <w:ind w:firstLine="709"/>
      </w:pPr>
      <w:r>
        <w:t>установление особого противопожарного режима в случае повышения пожарной опасности.</w:t>
      </w:r>
    </w:p>
    <w:p w14:paraId="7BDF4A5E" w14:textId="77777777" w:rsidR="008C49F9" w:rsidRDefault="008C49F9" w:rsidP="008C49F9">
      <w:pPr>
        <w:ind w:firstLine="709"/>
      </w:pPr>
      <w:r>
        <w:t>К полномочиям органов местного самоуправления муниципальных районов относится обеспечение первичных мер пожарной безопасности в границах муниципальных районов за границами городских и сельских населенных пунктов.</w:t>
      </w:r>
    </w:p>
    <w:p w14:paraId="4034E3AC" w14:textId="77777777" w:rsidR="008C49F9" w:rsidRDefault="008C49F9" w:rsidP="008C49F9">
      <w:pPr>
        <w:ind w:firstLine="709"/>
      </w:pPr>
      <w:r>
        <w:t>Вопросы организационно-правового, финансового, материально-технического обеспечения первичных мер пожарной безопасности поселений, муниципальных районов, муниципальных, городских округов, внутригородских районов устанавливаются нормативными актами органов местного самоуправления.</w:t>
      </w:r>
    </w:p>
    <w:p w14:paraId="45F51901" w14:textId="77777777" w:rsidR="008C49F9" w:rsidRDefault="008C49F9" w:rsidP="009843B8">
      <w:pPr>
        <w:ind w:firstLine="709"/>
      </w:pPr>
    </w:p>
    <w:p w14:paraId="4BE48B37" w14:textId="77777777" w:rsidR="00154A43" w:rsidRDefault="00154A43" w:rsidP="00154A43">
      <w:pPr>
        <w:ind w:firstLine="709"/>
      </w:pPr>
      <w:r>
        <w:t xml:space="preserve">В соответствии с пунктом 67 Правил правообладатели земельных участков, расположенных в границах населенных пунктов, на территориях общего пользования вне их границ, а также правообладателям территорий садоводства или огородничества </w:t>
      </w:r>
      <w:r w:rsidRPr="007D2C60">
        <w:t>обязаны</w:t>
      </w:r>
      <w:r>
        <w:t xml:space="preserve"> обеспечивать своевременную уборку мусора, сухой растительности и покос травы в пределах границ принадлежащих им участков.</w:t>
      </w:r>
    </w:p>
    <w:p w14:paraId="19BD97F3" w14:textId="77777777" w:rsidR="00154A43" w:rsidRDefault="00154A43" w:rsidP="00154A43">
      <w:pPr>
        <w:ind w:firstLine="709"/>
      </w:pPr>
      <w:r>
        <w:t>В силу пункта 68 Правил н</w:t>
      </w:r>
      <w:r w:rsidRPr="007D2C60">
        <w:t>а территориях общего пользования, прилегающих к жилым домам, садовым домам, объектам недвижимого имущества, относящимся к имуществу общего пользования садоводческого или огороднического некоммерческого товарищества, а также в лесах, лесопарковых зонах и на землях сельскохозяйственного назначения запрещается устраивать свалки горючих отходов</w:t>
      </w:r>
      <w:r>
        <w:t>.</w:t>
      </w:r>
    </w:p>
    <w:p w14:paraId="197AF469" w14:textId="77777777" w:rsidR="00154A43" w:rsidRDefault="00154A43" w:rsidP="00154A43">
      <w:pPr>
        <w:ind w:firstLine="709"/>
      </w:pPr>
      <w:r>
        <w:t>Согласно пункту 70 Правил, в период со дня схода снежного покрова до установления устойчивой дождливой осенней погоды или образования снежного покрова лицам, владеющим или распоряжающимся территорией, прилегающей к лесу, рекомендуется обеспечивать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отделять указанную территорию от леса противопожарной минерализованной полосой шириной не менее 1,4 метра или иным противопожарным барьером.</w:t>
      </w:r>
    </w:p>
    <w:p w14:paraId="1CFF1D4A" w14:textId="77777777" w:rsidR="00154A43" w:rsidRDefault="00154A43" w:rsidP="00154A43">
      <w:pPr>
        <w:ind w:firstLine="709"/>
      </w:pPr>
      <w:r>
        <w:t>Правообладателям земель сельскохозяйственного назначения рекомендуется руководствоваться пунктом 186 Правил, принимая меры по защите сельскохозяйственных угодий от зарастания сорной растительностью и своевременному проведению сенокошения на сенокосах.</w:t>
      </w:r>
    </w:p>
    <w:p w14:paraId="02135BC1" w14:textId="77777777" w:rsidR="00154A43" w:rsidRDefault="00154A43" w:rsidP="00154A43">
      <w:pPr>
        <w:ind w:firstLine="709"/>
      </w:pPr>
      <w:r>
        <w:lastRenderedPageBreak/>
        <w:t>Обращается внимание на недопустимость нарушения пункта 65 Правил, в соответствии с которым запрещается использовать противопожарные расстояния между зданиями и сооружениями для складирования материалов, мусора, травы и иных отходов, а также на запрет, установленный пунктом 69 Правил, устраивать свалки горючих отходов на территориях общего пользования и в лесах.</w:t>
      </w:r>
    </w:p>
    <w:p w14:paraId="3BB3B39C" w14:textId="77777777" w:rsidR="00154A43" w:rsidRDefault="00154A43" w:rsidP="00154A43">
      <w:pPr>
        <w:ind w:firstLine="709"/>
      </w:pPr>
      <w:r>
        <w:t>В целях реализации первичных мер пожарной безопасности, отнесенных к вопросам местного значения положениями Федерального закона № 69-ФЗ, органам местного самоуправления рекомендуется:</w:t>
      </w:r>
    </w:p>
    <w:p w14:paraId="77FE3FDD" w14:textId="77777777" w:rsidR="00154A43" w:rsidRDefault="00154A43" w:rsidP="00154A43">
      <w:pPr>
        <w:ind w:firstLine="709"/>
      </w:pPr>
      <w:r>
        <w:t>В области планирования и мониторинга:</w:t>
      </w:r>
    </w:p>
    <w:p w14:paraId="6FE4EA1B" w14:textId="77777777" w:rsidR="00154A43" w:rsidRDefault="00154A43" w:rsidP="00154A43">
      <w:pPr>
        <w:ind w:firstLine="709"/>
      </w:pPr>
      <w:r>
        <w:t>Утверждать планы-графики проведения работ по покосу травы на землях, находящихся в муниципальной собственности, и территориях общего пользования.</w:t>
      </w:r>
    </w:p>
    <w:p w14:paraId="3BF61282" w14:textId="77777777" w:rsidR="00154A43" w:rsidRDefault="00154A43" w:rsidP="00154A43">
      <w:pPr>
        <w:ind w:firstLine="709"/>
      </w:pPr>
      <w:r>
        <w:t>Организовывать мониторинг состояния растительности и проведение рейдовых мероприятий, направленных на выявление земельных участков, не используемых по назначению и характеризующихся наличием обильной сорной и сухой растительности.</w:t>
      </w:r>
    </w:p>
    <w:p w14:paraId="6A30D313" w14:textId="77777777" w:rsidR="00154A43" w:rsidRDefault="00154A43" w:rsidP="00154A43">
      <w:pPr>
        <w:ind w:firstLine="709"/>
      </w:pPr>
      <w:r>
        <w:t>В области информирования и взаимодействия с населением:</w:t>
      </w:r>
    </w:p>
    <w:p w14:paraId="6E1E758A" w14:textId="77777777" w:rsidR="00154A43" w:rsidRDefault="00154A43" w:rsidP="00154A43">
      <w:pPr>
        <w:ind w:firstLine="709"/>
      </w:pPr>
      <w:r>
        <w:t>Обеспечивать доведение до сведения граждан информации о требованиях пожарной безопасности, установленных Правилами, и о введении особого противопожарного режима.</w:t>
      </w:r>
    </w:p>
    <w:p w14:paraId="21900FB8" w14:textId="77777777" w:rsidR="00154A43" w:rsidRDefault="00154A43" w:rsidP="00154A43">
      <w:pPr>
        <w:ind w:firstLine="709"/>
      </w:pPr>
      <w:r>
        <w:t>Создавать условия для организации добровольной пожарной охраны и участия граждан в деятельности по обеспечению пожарной безопасности.</w:t>
      </w:r>
    </w:p>
    <w:p w14:paraId="2EB7BE91" w14:textId="77777777" w:rsidR="00154A43" w:rsidRDefault="00154A43" w:rsidP="00154A43">
      <w:pPr>
        <w:ind w:firstLine="709"/>
      </w:pPr>
      <w:r>
        <w:t>При установлении особого противопожарного режима руководствоваться дополнительными требованиями пожарной безопасности, вводимыми на соответствующий период, включая установление полного запрета на использование открытого огня и принятие мер по созданию (обновлению) противопожарных минерализованных полос шириной не менее 10 метров или иных противопожарных барьеров вокруг территории населенных пунктов (пункт 70 Правил).</w:t>
      </w:r>
    </w:p>
    <w:p w14:paraId="5A168768" w14:textId="77777777" w:rsidR="00154A43" w:rsidRDefault="00154A43" w:rsidP="00154A43">
      <w:pPr>
        <w:ind w:firstLine="709"/>
      </w:pPr>
      <w:r>
        <w:t>Пунктом 185 Правил введен прямой запрет на выжигание сухой травянистой растительности, стерни и пожнивных остатков на землях сельскохозяйственного назначения, землях запаса и землях населенных пунктов (за исключением рисовой соломы).</w:t>
      </w:r>
    </w:p>
    <w:p w14:paraId="2D558C9B" w14:textId="7EC452E9" w:rsidR="00154A43" w:rsidRDefault="00154A43" w:rsidP="00154A43">
      <w:pPr>
        <w:ind w:firstLine="709"/>
      </w:pPr>
      <w:r>
        <w:t>В случаях, допускаемых Правилами, использование открытого огня (включая сжигание мусора и приготовление пищи) должно осуществляться в специально оборудованных местах с соблюдением условий, предусмотренных Приложением № 4 к Правилам. В частности</w:t>
      </w:r>
      <w:r w:rsidR="002F28F3">
        <w:t xml:space="preserve"> необходимо</w:t>
      </w:r>
      <w:r>
        <w:t xml:space="preserve"> обеспечивать:</w:t>
      </w:r>
    </w:p>
    <w:p w14:paraId="45FFD865" w14:textId="77777777" w:rsidR="00154A43" w:rsidRDefault="00154A43" w:rsidP="00154A43">
      <w:pPr>
        <w:ind w:firstLine="709"/>
      </w:pPr>
      <w:r>
        <w:t>Использование открытого огня в котловане (яме) глубиной не менее 0,3 метра и диаметром не более 1 метра либо в емкости из негорючих материалов объемом не более 1 куб. метра.</w:t>
      </w:r>
    </w:p>
    <w:p w14:paraId="031D7C7A" w14:textId="77777777" w:rsidR="00154A43" w:rsidRDefault="00154A43" w:rsidP="00154A43">
      <w:pPr>
        <w:ind w:firstLine="709"/>
      </w:pPr>
      <w:r>
        <w:t>Соблюдение расстояния от места использования открытого огня не менее 50 метров до ближайшего объекта защиты, 100 метров до хвойного леса и 30 метров до лиственного леса.</w:t>
      </w:r>
    </w:p>
    <w:p w14:paraId="1D3D095F" w14:textId="77777777" w:rsidR="00154A43" w:rsidRDefault="00154A43" w:rsidP="00154A43">
      <w:pPr>
        <w:ind w:firstLine="709"/>
      </w:pPr>
      <w:r>
        <w:t>Очистку территории в радиусе 10 метров от места использования открытого огня от горючих материалов и отделение его противопожарной минерализованной полосой шириной не менее 0,4 метра.</w:t>
      </w:r>
    </w:p>
    <w:p w14:paraId="499D4C11" w14:textId="77777777" w:rsidR="00154A43" w:rsidRDefault="00154A43" w:rsidP="00154A43">
      <w:pPr>
        <w:ind w:firstLine="709"/>
      </w:pPr>
      <w:r>
        <w:lastRenderedPageBreak/>
        <w:t>Наличие первичных средств пожаротушения и средств связи для вызова подразделений пожарной охраны.</w:t>
      </w:r>
    </w:p>
    <w:p w14:paraId="327C0EC1" w14:textId="77777777" w:rsidR="00154A43" w:rsidRDefault="00154A43" w:rsidP="00154A43">
      <w:pPr>
        <w:ind w:firstLine="709"/>
      </w:pPr>
      <w:r>
        <w:t>Категорически не допускается использование открытого огня в условиях установленного особого противопожарного режима, при объявлении штормового предупреждения (при скорости ветра, превышающей значения, установленные Правилами), на торфяных почвах и под кронами хвойных деревьев.</w:t>
      </w:r>
    </w:p>
    <w:p w14:paraId="5C4ECF23" w14:textId="77777777" w:rsidR="00154A43" w:rsidRPr="00303650" w:rsidRDefault="00154A43" w:rsidP="00154A43">
      <w:pPr>
        <w:ind w:firstLine="709"/>
      </w:pPr>
      <w:r w:rsidRPr="00303650">
        <w:t xml:space="preserve">При использовании открытого огня для сжигания сухой травы, веток, листвы и другой горючей растительности в металлической емкости или емкости, выполненной из иных негорючих материалов, исключающей распространение пламени и выпадение горючих материалов за пределы очага горения, минимально допустимые расстояния, предусмотренные подпунктами </w:t>
      </w:r>
      <w:r>
        <w:t>«</w:t>
      </w:r>
      <w:r w:rsidRPr="00303650">
        <w:t>б</w:t>
      </w:r>
      <w:r>
        <w:t>»</w:t>
      </w:r>
      <w:r w:rsidRPr="00303650">
        <w:t xml:space="preserve"> и </w:t>
      </w:r>
      <w:r>
        <w:t>«</w:t>
      </w:r>
      <w:r w:rsidRPr="00303650">
        <w:t>в</w:t>
      </w:r>
      <w:r>
        <w:t>»</w:t>
      </w:r>
      <w:r w:rsidRPr="00303650">
        <w:t xml:space="preserve"> пункта 2 </w:t>
      </w:r>
      <w:bookmarkStart w:id="0" w:name="_Hlk227599783"/>
      <w:r w:rsidRPr="00303650">
        <w:t>Порядк</w:t>
      </w:r>
      <w:r>
        <w:t>а</w:t>
      </w:r>
      <w:r w:rsidRPr="00303650">
        <w:t xml:space="preserve"> использования открытого огня и разведения костров на землях сельскохозяйственного назначения, землях запаса и землях населенных пунктов</w:t>
      </w:r>
      <w:bookmarkEnd w:id="0"/>
      <w:r>
        <w:t>, утвержденного приложением № 4 к Правилам (далее – Порядок)</w:t>
      </w:r>
      <w:r w:rsidRPr="00303650">
        <w:t>, могут быть уменьшены вдвое. При этом устройство противопожарной минерализованной полосы не требуется.</w:t>
      </w:r>
    </w:p>
    <w:p w14:paraId="566D676D" w14:textId="77777777" w:rsidR="00154A43" w:rsidRPr="00303650" w:rsidRDefault="00154A43" w:rsidP="00154A43">
      <w:pPr>
        <w:ind w:firstLine="709"/>
      </w:pPr>
      <w:r w:rsidRPr="00303650">
        <w:t>В случаях выполнения работ по уничтожению сухой травянистой растительности, стерни, пожнивных остатков и иных горючих отходов с использованием открытого огня допускается увеличивать диаметр очага горения до 3 метров. При этом минимально допустимый радиус зоны очистки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</w:t>
      </w:r>
      <w:r>
        <w:t xml:space="preserve">я к </w:t>
      </w:r>
      <w:r w:rsidRPr="00303650">
        <w:t>Порядк</w:t>
      </w:r>
      <w:r>
        <w:t>у</w:t>
      </w:r>
      <w:r w:rsidRPr="00303650">
        <w:t>.</w:t>
      </w:r>
    </w:p>
    <w:p w14:paraId="3E25A826" w14:textId="77777777" w:rsidR="00154A43" w:rsidRPr="00303650" w:rsidRDefault="00154A43" w:rsidP="00154A43">
      <w:pPr>
        <w:ind w:firstLine="709"/>
      </w:pPr>
      <w:r w:rsidRPr="00303650">
        <w:t>При увеличении диаметра зоны очага горения должны быть выполнены требования пункта</w:t>
      </w:r>
      <w:r>
        <w:t xml:space="preserve"> </w:t>
      </w:r>
      <w:r w:rsidRPr="00303650">
        <w:t xml:space="preserve">2 </w:t>
      </w:r>
      <w:r>
        <w:t>П</w:t>
      </w:r>
      <w:r w:rsidRPr="00303650">
        <w:t>орядка. При этом на каждый очаг использования открытого огня должно быть задействовано не менее 2 человек, обеспеченных первичными средствами пожаротушения и прошедших обучение мерам пожарной безопасности.</w:t>
      </w:r>
    </w:p>
    <w:p w14:paraId="45B094B1" w14:textId="77777777" w:rsidR="00154A43" w:rsidRPr="00303650" w:rsidRDefault="00154A43" w:rsidP="00154A43">
      <w:pPr>
        <w:ind w:firstLine="709"/>
      </w:pPr>
      <w:r w:rsidRPr="00303650">
        <w:t>В течение всего периода использования открытого огня до прекращения процесса тления должен осуществляться контроль за нераспространением горения (тления) за пределы очаговой зоны.</w:t>
      </w:r>
    </w:p>
    <w:p w14:paraId="5CF98C2A" w14:textId="224530CE" w:rsidR="00A047E4" w:rsidRPr="00932E1C" w:rsidRDefault="00154A43" w:rsidP="00154A43">
      <w:pPr>
        <w:ind w:firstLine="709"/>
      </w:pPr>
      <w:r w:rsidRPr="00303650">
        <w:t>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sectPr w:rsidR="00A047E4" w:rsidRPr="00932E1C" w:rsidSect="005B1757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5F286" w14:textId="77777777" w:rsidR="00D84674" w:rsidRDefault="00D84674" w:rsidP="005B1757">
      <w:r>
        <w:separator/>
      </w:r>
    </w:p>
  </w:endnote>
  <w:endnote w:type="continuationSeparator" w:id="0">
    <w:p w14:paraId="4F65AD03" w14:textId="77777777" w:rsidR="00D84674" w:rsidRDefault="00D84674" w:rsidP="005B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Astra Serif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D2936" w14:textId="77777777" w:rsidR="00D84674" w:rsidRDefault="00D84674" w:rsidP="005B1757">
      <w:r>
        <w:separator/>
      </w:r>
    </w:p>
  </w:footnote>
  <w:footnote w:type="continuationSeparator" w:id="0">
    <w:p w14:paraId="1D002AB0" w14:textId="77777777" w:rsidR="00D84674" w:rsidRDefault="00D84674" w:rsidP="005B1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9650640"/>
      <w:docPartObj>
        <w:docPartGallery w:val="Page Numbers (Top of Page)"/>
        <w:docPartUnique/>
      </w:docPartObj>
    </w:sdtPr>
    <w:sdtContent>
      <w:p w14:paraId="45A62616" w14:textId="2E90E5F4" w:rsidR="005B1757" w:rsidRDefault="005B175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4EF8303" w14:textId="77777777" w:rsidR="005B1757" w:rsidRDefault="005B175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748"/>
    <w:multiLevelType w:val="multilevel"/>
    <w:tmpl w:val="20E69E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34744"/>
    <w:multiLevelType w:val="multilevel"/>
    <w:tmpl w:val="83DAD8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B5F8C"/>
    <w:multiLevelType w:val="multilevel"/>
    <w:tmpl w:val="8092ED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4954B4"/>
    <w:multiLevelType w:val="multilevel"/>
    <w:tmpl w:val="1F36C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750A6"/>
    <w:multiLevelType w:val="hybridMultilevel"/>
    <w:tmpl w:val="7E2034BA"/>
    <w:lvl w:ilvl="0" w:tplc="6B285B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183624"/>
    <w:multiLevelType w:val="multilevel"/>
    <w:tmpl w:val="323EFD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6F7076"/>
    <w:multiLevelType w:val="multilevel"/>
    <w:tmpl w:val="92A688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A0BF4"/>
    <w:multiLevelType w:val="multilevel"/>
    <w:tmpl w:val="64F686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6036F"/>
    <w:multiLevelType w:val="multilevel"/>
    <w:tmpl w:val="905CAD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366981"/>
    <w:multiLevelType w:val="multilevel"/>
    <w:tmpl w:val="C2BA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834A91"/>
    <w:multiLevelType w:val="multilevel"/>
    <w:tmpl w:val="A2C027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4711595">
    <w:abstractNumId w:val="3"/>
  </w:num>
  <w:num w:numId="2" w16cid:durableId="1110004319">
    <w:abstractNumId w:val="1"/>
  </w:num>
  <w:num w:numId="3" w16cid:durableId="1806897655">
    <w:abstractNumId w:val="10"/>
  </w:num>
  <w:num w:numId="4" w16cid:durableId="1232043314">
    <w:abstractNumId w:val="7"/>
  </w:num>
  <w:num w:numId="5" w16cid:durableId="1442458130">
    <w:abstractNumId w:val="2"/>
  </w:num>
  <w:num w:numId="6" w16cid:durableId="1003626265">
    <w:abstractNumId w:val="4"/>
  </w:num>
  <w:num w:numId="7" w16cid:durableId="2039769633">
    <w:abstractNumId w:val="8"/>
  </w:num>
  <w:num w:numId="8" w16cid:durableId="977806960">
    <w:abstractNumId w:val="9"/>
  </w:num>
  <w:num w:numId="9" w16cid:durableId="846167967">
    <w:abstractNumId w:val="6"/>
  </w:num>
  <w:num w:numId="10" w16cid:durableId="1402865974">
    <w:abstractNumId w:val="0"/>
  </w:num>
  <w:num w:numId="11" w16cid:durableId="12473764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99"/>
    <w:rsid w:val="00004220"/>
    <w:rsid w:val="000F3FC2"/>
    <w:rsid w:val="00135A80"/>
    <w:rsid w:val="00154A43"/>
    <w:rsid w:val="00174211"/>
    <w:rsid w:val="00281F3D"/>
    <w:rsid w:val="00284ECA"/>
    <w:rsid w:val="002E3307"/>
    <w:rsid w:val="002E4E71"/>
    <w:rsid w:val="002F28F3"/>
    <w:rsid w:val="00303650"/>
    <w:rsid w:val="0031616F"/>
    <w:rsid w:val="00382F41"/>
    <w:rsid w:val="003B7F93"/>
    <w:rsid w:val="00477CB0"/>
    <w:rsid w:val="00561814"/>
    <w:rsid w:val="00581773"/>
    <w:rsid w:val="005B1757"/>
    <w:rsid w:val="005C460C"/>
    <w:rsid w:val="0064609E"/>
    <w:rsid w:val="006638C5"/>
    <w:rsid w:val="006B72FA"/>
    <w:rsid w:val="00724712"/>
    <w:rsid w:val="00754232"/>
    <w:rsid w:val="00756E88"/>
    <w:rsid w:val="007F07DE"/>
    <w:rsid w:val="008725A5"/>
    <w:rsid w:val="008910DA"/>
    <w:rsid w:val="008B1882"/>
    <w:rsid w:val="008C49F9"/>
    <w:rsid w:val="00932E1C"/>
    <w:rsid w:val="009843B8"/>
    <w:rsid w:val="0099636B"/>
    <w:rsid w:val="00A047E4"/>
    <w:rsid w:val="00A244B7"/>
    <w:rsid w:val="00A50E2E"/>
    <w:rsid w:val="00AB1CC1"/>
    <w:rsid w:val="00B007C6"/>
    <w:rsid w:val="00B347D8"/>
    <w:rsid w:val="00B51EE6"/>
    <w:rsid w:val="00B7741E"/>
    <w:rsid w:val="00C37431"/>
    <w:rsid w:val="00CF4436"/>
    <w:rsid w:val="00D82FC1"/>
    <w:rsid w:val="00D84674"/>
    <w:rsid w:val="00DC6FBA"/>
    <w:rsid w:val="00E50400"/>
    <w:rsid w:val="00E62CBC"/>
    <w:rsid w:val="00EE24A8"/>
    <w:rsid w:val="00F33D0D"/>
    <w:rsid w:val="00F6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DB9A9"/>
  <w15:chartTrackingRefBased/>
  <w15:docId w15:val="{B005194E-D55A-4F8F-8F33-B1046B4D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4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0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0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0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0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0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0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0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4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409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40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40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40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40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40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409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40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4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0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409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F640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40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40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409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4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409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409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32E1C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32E1C"/>
    <w:rPr>
      <w:color w:val="605E5C"/>
      <w:shd w:val="clear" w:color="auto" w:fill="E1DFDD"/>
    </w:rPr>
  </w:style>
  <w:style w:type="paragraph" w:customStyle="1" w:styleId="Firstlineindent">
    <w:name w:val="First line indent"/>
    <w:basedOn w:val="a"/>
    <w:rsid w:val="000F3FC2"/>
    <w:pPr>
      <w:widowControl w:val="0"/>
      <w:suppressAutoHyphens/>
      <w:ind w:firstLine="709"/>
      <w:textAlignment w:val="baseline"/>
    </w:pPr>
    <w:rPr>
      <w:rFonts w:ascii="PT Astra Serif" w:eastAsia="PT Astra Serif" w:hAnsi="PT Astra Serif" w:cs="PT Astra Serif"/>
      <w:sz w:val="21"/>
      <w:lang w:eastAsia="zh-CN"/>
      <w14:ligatures w14:val="none"/>
    </w:rPr>
  </w:style>
  <w:style w:type="character" w:styleId="ad">
    <w:name w:val="FollowedHyperlink"/>
    <w:basedOn w:val="a0"/>
    <w:uiPriority w:val="99"/>
    <w:semiHidden/>
    <w:unhideWhenUsed/>
    <w:rsid w:val="00756E88"/>
    <w:rPr>
      <w:color w:val="96607D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5B175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B1757"/>
  </w:style>
  <w:style w:type="paragraph" w:styleId="af0">
    <w:name w:val="footer"/>
    <w:basedOn w:val="a"/>
    <w:link w:val="af1"/>
    <w:uiPriority w:val="99"/>
    <w:unhideWhenUsed/>
    <w:rsid w:val="005B175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B1757"/>
  </w:style>
  <w:style w:type="character" w:styleId="af2">
    <w:name w:val="Unresolved Mention"/>
    <w:basedOn w:val="a0"/>
    <w:uiPriority w:val="99"/>
    <w:semiHidden/>
    <w:unhideWhenUsed/>
    <w:rsid w:val="00303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451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3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9942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93731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4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7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70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582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5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0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88646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9456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4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64632">
                              <w:marLeft w:val="-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175309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2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9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423458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0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86446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2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23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97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4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2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64222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2536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53743">
                              <w:marLeft w:val="-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250495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1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42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0308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9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9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9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2026-04-23T08:09:00Z</dcterms:created>
  <dcterms:modified xsi:type="dcterms:W3CDTF">2026-04-29T06:26:00Z</dcterms:modified>
</cp:coreProperties>
</file>